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83" w:rsidRPr="00E82A83" w:rsidRDefault="00E82A83" w:rsidP="00E82A83">
      <w:pPr>
        <w:pStyle w:val="Textebrut"/>
        <w:jc w:val="center"/>
        <w:rPr>
          <w:rFonts w:ascii="Times New Roman" w:hAnsi="Times New Roman" w:cs="Times New Roman"/>
          <w:sz w:val="24"/>
          <w:szCs w:val="24"/>
          <w:lang w:val="en-US"/>
        </w:rPr>
      </w:pPr>
    </w:p>
    <w:p w:rsidR="00E82A83" w:rsidRPr="002756C2" w:rsidRDefault="000C2B1F" w:rsidP="00E82A83">
      <w:pPr>
        <w:pStyle w:val="Textebrut"/>
        <w:jc w:val="right"/>
        <w:rPr>
          <w:rFonts w:ascii="Times New Roman" w:hAnsi="Times New Roman" w:cs="Times New Roman"/>
          <w:sz w:val="24"/>
          <w:szCs w:val="24"/>
        </w:rPr>
      </w:pPr>
      <w:r w:rsidRPr="002756C2">
        <w:rPr>
          <w:rFonts w:ascii="Times New Roman" w:hAnsi="Times New Roman" w:cs="Times New Roman"/>
          <w:sz w:val="24"/>
          <w:szCs w:val="24"/>
        </w:rPr>
        <w:t xml:space="preserve">Le </w:t>
      </w:r>
      <w:r w:rsidR="00D94333">
        <w:rPr>
          <w:rFonts w:ascii="Times New Roman" w:hAnsi="Times New Roman" w:cs="Times New Roman"/>
          <w:sz w:val="24"/>
          <w:szCs w:val="24"/>
        </w:rPr>
        <w:t>8</w:t>
      </w:r>
      <w:r w:rsidRPr="002756C2">
        <w:rPr>
          <w:rFonts w:ascii="Times New Roman" w:hAnsi="Times New Roman" w:cs="Times New Roman"/>
          <w:sz w:val="24"/>
          <w:szCs w:val="24"/>
        </w:rPr>
        <w:t xml:space="preserve"> </w:t>
      </w:r>
      <w:r w:rsidR="00D94333">
        <w:rPr>
          <w:rFonts w:ascii="Times New Roman" w:hAnsi="Times New Roman" w:cs="Times New Roman"/>
          <w:sz w:val="24"/>
          <w:szCs w:val="24"/>
        </w:rPr>
        <w:t xml:space="preserve">décembre </w:t>
      </w:r>
      <w:r w:rsidRPr="002756C2">
        <w:rPr>
          <w:rFonts w:ascii="Times New Roman" w:hAnsi="Times New Roman" w:cs="Times New Roman"/>
          <w:sz w:val="24"/>
          <w:szCs w:val="24"/>
        </w:rPr>
        <w:t>2011</w:t>
      </w:r>
    </w:p>
    <w:p w:rsidR="000C2B1F" w:rsidRPr="002756C2" w:rsidRDefault="000C2B1F" w:rsidP="000C2B1F">
      <w:pPr>
        <w:pStyle w:val="Textebrut"/>
        <w:jc w:val="center"/>
        <w:rPr>
          <w:rFonts w:ascii="Times New Roman" w:hAnsi="Times New Roman" w:cs="Times New Roman"/>
          <w:b/>
          <w:sz w:val="24"/>
          <w:szCs w:val="24"/>
        </w:rPr>
      </w:pPr>
    </w:p>
    <w:p w:rsidR="000C2B1F" w:rsidRPr="00C25B02" w:rsidRDefault="000C2B1F" w:rsidP="00E82A83">
      <w:pPr>
        <w:pStyle w:val="Textebrut"/>
        <w:spacing w:line="360" w:lineRule="auto"/>
        <w:jc w:val="center"/>
        <w:rPr>
          <w:rFonts w:ascii="Arial" w:hAnsi="Arial" w:cs="Arial"/>
          <w:b/>
          <w:sz w:val="32"/>
          <w:szCs w:val="32"/>
        </w:rPr>
      </w:pPr>
      <w:r w:rsidRPr="00C25B02">
        <w:rPr>
          <w:rFonts w:ascii="Arial" w:hAnsi="Arial" w:cs="Arial"/>
          <w:b/>
          <w:sz w:val="32"/>
          <w:szCs w:val="32"/>
        </w:rPr>
        <w:t>Test de l’ABE sur les besoins en fonds propres</w:t>
      </w:r>
      <w:r w:rsidR="00C25B02">
        <w:rPr>
          <w:rFonts w:ascii="Arial" w:hAnsi="Arial" w:cs="Arial"/>
          <w:b/>
          <w:sz w:val="32"/>
          <w:szCs w:val="32"/>
        </w:rPr>
        <w:br/>
      </w:r>
      <w:r w:rsidRPr="00C25B02">
        <w:rPr>
          <w:rFonts w:ascii="Arial" w:hAnsi="Arial" w:cs="Arial"/>
          <w:b/>
          <w:sz w:val="32"/>
          <w:szCs w:val="32"/>
        </w:rPr>
        <w:t xml:space="preserve"> des banques européennes: </w:t>
      </w:r>
    </w:p>
    <w:p w:rsidR="000C2B1F" w:rsidRPr="00C25B02" w:rsidRDefault="00C25B02" w:rsidP="001D4976">
      <w:pPr>
        <w:pStyle w:val="Textebrut"/>
        <w:spacing w:line="360" w:lineRule="auto"/>
        <w:jc w:val="center"/>
        <w:rPr>
          <w:rFonts w:ascii="Arial" w:hAnsi="Arial" w:cs="Arial"/>
          <w:b/>
          <w:sz w:val="32"/>
          <w:szCs w:val="32"/>
        </w:rPr>
      </w:pPr>
      <w:proofErr w:type="gramStart"/>
      <w:r>
        <w:rPr>
          <w:rFonts w:ascii="Arial" w:hAnsi="Arial" w:cs="Arial"/>
          <w:b/>
          <w:sz w:val="32"/>
          <w:szCs w:val="32"/>
        </w:rPr>
        <w:t>l</w:t>
      </w:r>
      <w:r w:rsidR="000C2B1F" w:rsidRPr="00C25B02">
        <w:rPr>
          <w:rFonts w:ascii="Arial" w:hAnsi="Arial" w:cs="Arial"/>
          <w:b/>
          <w:sz w:val="32"/>
          <w:szCs w:val="32"/>
        </w:rPr>
        <w:t>es</w:t>
      </w:r>
      <w:proofErr w:type="gramEnd"/>
      <w:r w:rsidR="000C2B1F" w:rsidRPr="00C25B02">
        <w:rPr>
          <w:rFonts w:ascii="Arial" w:hAnsi="Arial" w:cs="Arial"/>
          <w:b/>
          <w:sz w:val="32"/>
          <w:szCs w:val="32"/>
        </w:rPr>
        <w:t xml:space="preserve"> résultats </w:t>
      </w:r>
      <w:r w:rsidR="00D94333" w:rsidRPr="00C25B02">
        <w:rPr>
          <w:rFonts w:ascii="Arial" w:hAnsi="Arial" w:cs="Arial"/>
          <w:b/>
          <w:sz w:val="32"/>
          <w:szCs w:val="32"/>
        </w:rPr>
        <w:t xml:space="preserve">définitifs </w:t>
      </w:r>
      <w:r w:rsidR="00AF449D">
        <w:rPr>
          <w:rFonts w:ascii="Arial" w:hAnsi="Arial" w:cs="Arial"/>
          <w:b/>
          <w:sz w:val="32"/>
          <w:szCs w:val="32"/>
        </w:rPr>
        <w:t>des banques françaises</w:t>
      </w:r>
    </w:p>
    <w:p w:rsidR="00E82A83" w:rsidRDefault="00E82A83" w:rsidP="00D94333">
      <w:pPr>
        <w:pStyle w:val="Textebrut"/>
        <w:spacing w:line="276" w:lineRule="auto"/>
        <w:jc w:val="both"/>
        <w:rPr>
          <w:rFonts w:ascii="Times New Roman" w:hAnsi="Times New Roman"/>
          <w:sz w:val="24"/>
          <w:szCs w:val="24"/>
        </w:rPr>
      </w:pPr>
    </w:p>
    <w:p w:rsidR="00D94333" w:rsidRDefault="00D94333" w:rsidP="00D94333">
      <w:pPr>
        <w:pStyle w:val="Textebrut"/>
        <w:spacing w:line="276" w:lineRule="auto"/>
        <w:jc w:val="both"/>
        <w:rPr>
          <w:rFonts w:ascii="Times New Roman" w:hAnsi="Times New Roman"/>
          <w:sz w:val="24"/>
          <w:szCs w:val="24"/>
        </w:rPr>
      </w:pPr>
      <w:r>
        <w:rPr>
          <w:rFonts w:ascii="Times New Roman" w:hAnsi="Times New Roman"/>
          <w:sz w:val="24"/>
          <w:szCs w:val="24"/>
        </w:rPr>
        <w:t>L’A</w:t>
      </w:r>
      <w:r w:rsidR="00B71534">
        <w:rPr>
          <w:rFonts w:ascii="Times New Roman" w:hAnsi="Times New Roman"/>
          <w:sz w:val="24"/>
          <w:szCs w:val="24"/>
        </w:rPr>
        <w:t>utorité</w:t>
      </w:r>
      <w:r>
        <w:rPr>
          <w:rFonts w:ascii="Times New Roman" w:hAnsi="Times New Roman"/>
          <w:sz w:val="24"/>
          <w:szCs w:val="24"/>
        </w:rPr>
        <w:t xml:space="preserve"> Bancaire Européenne a conduit un exercice visant à mettre en évidence les éventuels besoins en fonds propres pour répondre aux inquiétudes sur les expositions aux dettes souveraines et dont les modalités ont été approuvées par le Conseil européen du 26 octobre 2011. Les résultats provisoires, publiés le 27</w:t>
      </w:r>
      <w:r w:rsidR="00AF449D">
        <w:rPr>
          <w:rFonts w:ascii="Times New Roman" w:hAnsi="Times New Roman"/>
          <w:sz w:val="24"/>
          <w:szCs w:val="24"/>
        </w:rPr>
        <w:t> </w:t>
      </w:r>
      <w:r>
        <w:rPr>
          <w:rFonts w:ascii="Times New Roman" w:hAnsi="Times New Roman"/>
          <w:sz w:val="24"/>
          <w:szCs w:val="24"/>
        </w:rPr>
        <w:t>octobre</w:t>
      </w:r>
      <w:r w:rsidR="00AF449D">
        <w:rPr>
          <w:rFonts w:ascii="Times New Roman" w:hAnsi="Times New Roman"/>
          <w:sz w:val="24"/>
          <w:szCs w:val="24"/>
        </w:rPr>
        <w:t> </w:t>
      </w:r>
      <w:r>
        <w:rPr>
          <w:rFonts w:ascii="Times New Roman" w:hAnsi="Times New Roman"/>
          <w:sz w:val="24"/>
          <w:szCs w:val="24"/>
        </w:rPr>
        <w:t xml:space="preserve">2011, étaient établis sur les données au 30 juin 2011 mais il était prévu de prendre en compte les </w:t>
      </w:r>
      <w:r w:rsidRPr="00D94333">
        <w:rPr>
          <w:rFonts w:ascii="Times New Roman" w:hAnsi="Times New Roman"/>
          <w:bCs/>
          <w:sz w:val="24"/>
          <w:szCs w:val="24"/>
        </w:rPr>
        <w:t>expositions aux dette</w:t>
      </w:r>
      <w:r>
        <w:rPr>
          <w:rFonts w:ascii="Times New Roman" w:hAnsi="Times New Roman"/>
          <w:bCs/>
          <w:sz w:val="24"/>
          <w:szCs w:val="24"/>
        </w:rPr>
        <w:t>s</w:t>
      </w:r>
      <w:r w:rsidRPr="00D94333">
        <w:rPr>
          <w:rFonts w:ascii="Times New Roman" w:hAnsi="Times New Roman"/>
          <w:bCs/>
          <w:sz w:val="24"/>
          <w:szCs w:val="24"/>
        </w:rPr>
        <w:t xml:space="preserve"> souveraines </w:t>
      </w:r>
      <w:r>
        <w:rPr>
          <w:rFonts w:ascii="Times New Roman" w:hAnsi="Times New Roman"/>
          <w:sz w:val="24"/>
          <w:szCs w:val="24"/>
        </w:rPr>
        <w:t>au 30 septembre 2011 pour déterminer les besoins en fonds propres des banques européennes.</w:t>
      </w:r>
    </w:p>
    <w:p w:rsidR="00D94333" w:rsidRDefault="00D94333" w:rsidP="00D94333">
      <w:pPr>
        <w:pStyle w:val="Textebrut"/>
        <w:spacing w:line="276" w:lineRule="auto"/>
        <w:jc w:val="both"/>
        <w:rPr>
          <w:rFonts w:ascii="Times New Roman" w:hAnsi="Times New Roman"/>
          <w:sz w:val="24"/>
          <w:szCs w:val="24"/>
        </w:rPr>
      </w:pPr>
    </w:p>
    <w:p w:rsidR="00D94333" w:rsidRDefault="00AF449D" w:rsidP="00D94333">
      <w:pPr>
        <w:pStyle w:val="Textebrut"/>
        <w:spacing w:line="276" w:lineRule="auto"/>
        <w:jc w:val="both"/>
        <w:rPr>
          <w:rFonts w:ascii="Times New Roman" w:hAnsi="Times New Roman"/>
          <w:sz w:val="24"/>
          <w:szCs w:val="24"/>
        </w:rPr>
      </w:pPr>
      <w:r>
        <w:rPr>
          <w:rFonts w:ascii="Times New Roman" w:hAnsi="Times New Roman"/>
          <w:sz w:val="24"/>
          <w:szCs w:val="24"/>
        </w:rPr>
        <w:t>71 </w:t>
      </w:r>
      <w:r w:rsidR="00D94333">
        <w:rPr>
          <w:rFonts w:ascii="Times New Roman" w:hAnsi="Times New Roman"/>
          <w:sz w:val="24"/>
          <w:szCs w:val="24"/>
        </w:rPr>
        <w:t>établissements, pris parmi ceux déjà soumis aux stress tests de juillet</w:t>
      </w:r>
      <w:r>
        <w:rPr>
          <w:rFonts w:ascii="Times New Roman" w:hAnsi="Times New Roman"/>
          <w:sz w:val="24"/>
          <w:szCs w:val="24"/>
        </w:rPr>
        <w:t> </w:t>
      </w:r>
      <w:r w:rsidR="00D94333">
        <w:rPr>
          <w:rFonts w:ascii="Times New Roman" w:hAnsi="Times New Roman"/>
          <w:sz w:val="24"/>
          <w:szCs w:val="24"/>
        </w:rPr>
        <w:t>2011, ont été soumis à l’exercice dont l’objectif est de créer un coussin de sécurité pour démontrer la capacité des banques à supporter différents chocs tout en maintenant un niveau adéquat de fonds propres.</w:t>
      </w:r>
      <w:r w:rsidR="00E82A83">
        <w:rPr>
          <w:rFonts w:ascii="Times New Roman" w:hAnsi="Times New Roman"/>
          <w:sz w:val="24"/>
          <w:szCs w:val="24"/>
        </w:rPr>
        <w:t xml:space="preserve"> </w:t>
      </w:r>
      <w:r w:rsidR="00D94333">
        <w:rPr>
          <w:rFonts w:ascii="Times New Roman" w:hAnsi="Times New Roman"/>
          <w:sz w:val="24"/>
          <w:szCs w:val="24"/>
        </w:rPr>
        <w:t>Les banques doivent respecter un objectif de ratio « </w:t>
      </w:r>
      <w:proofErr w:type="spellStart"/>
      <w:r w:rsidR="00D94333">
        <w:rPr>
          <w:rFonts w:ascii="Times New Roman" w:hAnsi="Times New Roman"/>
          <w:sz w:val="24"/>
          <w:szCs w:val="24"/>
        </w:rPr>
        <w:t>Core</w:t>
      </w:r>
      <w:proofErr w:type="spellEnd"/>
      <w:r w:rsidR="00D94333">
        <w:rPr>
          <w:rFonts w:ascii="Times New Roman" w:hAnsi="Times New Roman"/>
          <w:sz w:val="24"/>
          <w:szCs w:val="24"/>
        </w:rPr>
        <w:t xml:space="preserve"> </w:t>
      </w:r>
      <w:proofErr w:type="spellStart"/>
      <w:r w:rsidR="00D94333">
        <w:rPr>
          <w:rFonts w:ascii="Times New Roman" w:hAnsi="Times New Roman"/>
          <w:sz w:val="24"/>
          <w:szCs w:val="24"/>
        </w:rPr>
        <w:t>Tier</w:t>
      </w:r>
      <w:proofErr w:type="spellEnd"/>
      <w:r w:rsidR="00D94333">
        <w:rPr>
          <w:rFonts w:ascii="Times New Roman" w:hAnsi="Times New Roman"/>
          <w:sz w:val="24"/>
          <w:szCs w:val="24"/>
        </w:rPr>
        <w:t xml:space="preserve"> One » de 9</w:t>
      </w:r>
      <w:r w:rsidR="00C25B02">
        <w:rPr>
          <w:rFonts w:ascii="Times New Roman" w:hAnsi="Times New Roman"/>
          <w:sz w:val="24"/>
          <w:szCs w:val="24"/>
        </w:rPr>
        <w:t> </w:t>
      </w:r>
      <w:r w:rsidR="00D94333">
        <w:rPr>
          <w:rFonts w:ascii="Times New Roman" w:hAnsi="Times New Roman"/>
          <w:sz w:val="24"/>
          <w:szCs w:val="24"/>
        </w:rPr>
        <w:t>% d’ici à fin juin 2012, incluant un impact reflétant les valeurs de marché des dettes souveraines européennes au 30</w:t>
      </w:r>
      <w:r w:rsidR="00C25B02">
        <w:rPr>
          <w:rFonts w:ascii="Times New Roman" w:hAnsi="Times New Roman"/>
          <w:sz w:val="24"/>
          <w:szCs w:val="24"/>
        </w:rPr>
        <w:t> </w:t>
      </w:r>
      <w:r w:rsidR="00D94333">
        <w:rPr>
          <w:rFonts w:ascii="Times New Roman" w:hAnsi="Times New Roman"/>
          <w:sz w:val="24"/>
          <w:szCs w:val="24"/>
        </w:rPr>
        <w:t>septembre</w:t>
      </w:r>
      <w:r w:rsidR="00C25B02">
        <w:rPr>
          <w:rFonts w:ascii="Times New Roman" w:hAnsi="Times New Roman"/>
          <w:sz w:val="24"/>
          <w:szCs w:val="24"/>
        </w:rPr>
        <w:t> </w:t>
      </w:r>
      <w:r w:rsidR="00D94333">
        <w:rPr>
          <w:rFonts w:ascii="Times New Roman" w:hAnsi="Times New Roman"/>
          <w:sz w:val="24"/>
          <w:szCs w:val="24"/>
        </w:rPr>
        <w:t>2011. La méthodologie suivie est sur le site de l’ABE (</w:t>
      </w:r>
      <w:hyperlink r:id="rId7" w:history="1">
        <w:r w:rsidR="00D94333">
          <w:rPr>
            <w:rStyle w:val="Lienhypertexte"/>
            <w:sz w:val="24"/>
            <w:szCs w:val="24"/>
          </w:rPr>
          <w:t>www.eba.europa.eu</w:t>
        </w:r>
      </w:hyperlink>
      <w:r w:rsidR="00D94333">
        <w:rPr>
          <w:rFonts w:ascii="Times New Roman" w:hAnsi="Times New Roman"/>
          <w:sz w:val="24"/>
          <w:szCs w:val="24"/>
        </w:rPr>
        <w:t>).</w:t>
      </w:r>
    </w:p>
    <w:p w:rsidR="00D94333" w:rsidRDefault="00D94333" w:rsidP="00D94333">
      <w:pPr>
        <w:pStyle w:val="Textebrut"/>
        <w:spacing w:line="276" w:lineRule="auto"/>
        <w:jc w:val="both"/>
        <w:rPr>
          <w:rFonts w:ascii="Times New Roman" w:hAnsi="Times New Roman"/>
          <w:sz w:val="24"/>
          <w:szCs w:val="24"/>
        </w:rPr>
      </w:pPr>
    </w:p>
    <w:p w:rsidR="00D94333" w:rsidRPr="00B93726" w:rsidRDefault="00D94333" w:rsidP="00D94333">
      <w:pPr>
        <w:pStyle w:val="Textebrut"/>
        <w:spacing w:line="276" w:lineRule="auto"/>
        <w:jc w:val="both"/>
        <w:rPr>
          <w:rFonts w:ascii="Times New Roman" w:hAnsi="Times New Roman"/>
          <w:bCs/>
          <w:sz w:val="24"/>
          <w:szCs w:val="24"/>
        </w:rPr>
      </w:pPr>
      <w:r>
        <w:rPr>
          <w:rFonts w:ascii="Times New Roman" w:hAnsi="Times New Roman"/>
          <w:sz w:val="24"/>
          <w:szCs w:val="24"/>
        </w:rPr>
        <w:t xml:space="preserve">Pour les </w:t>
      </w:r>
      <w:r w:rsidR="00AF449D">
        <w:rPr>
          <w:rFonts w:ascii="Times New Roman" w:hAnsi="Times New Roman"/>
          <w:sz w:val="24"/>
          <w:szCs w:val="24"/>
        </w:rPr>
        <w:t>quatre</w:t>
      </w:r>
      <w:r>
        <w:rPr>
          <w:rFonts w:ascii="Times New Roman" w:hAnsi="Times New Roman"/>
          <w:sz w:val="24"/>
          <w:szCs w:val="24"/>
        </w:rPr>
        <w:t xml:space="preserve"> banques françaises soumises à l’exercice –</w:t>
      </w:r>
      <w:r w:rsidR="00C25B02">
        <w:rPr>
          <w:rFonts w:ascii="Times New Roman" w:hAnsi="Times New Roman"/>
          <w:sz w:val="24"/>
          <w:szCs w:val="24"/>
        </w:rPr>
        <w:t> </w:t>
      </w:r>
      <w:r>
        <w:rPr>
          <w:rFonts w:ascii="Times New Roman" w:hAnsi="Times New Roman"/>
          <w:sz w:val="24"/>
          <w:szCs w:val="24"/>
        </w:rPr>
        <w:t>BNP PARIBAS, Groupe BPCE, Groupe CR</w:t>
      </w:r>
      <w:r w:rsidR="00C25B02">
        <w:rPr>
          <w:rFonts w:ascii="Times New Roman" w:hAnsi="Times New Roman"/>
          <w:sz w:val="24"/>
          <w:szCs w:val="24"/>
        </w:rPr>
        <w:t>É</w:t>
      </w:r>
      <w:r>
        <w:rPr>
          <w:rFonts w:ascii="Times New Roman" w:hAnsi="Times New Roman"/>
          <w:sz w:val="24"/>
          <w:szCs w:val="24"/>
        </w:rPr>
        <w:t>DIT AGRICOLE et SOCI</w:t>
      </w:r>
      <w:r w:rsidR="00C25B02">
        <w:rPr>
          <w:rFonts w:ascii="Times New Roman" w:hAnsi="Times New Roman"/>
          <w:sz w:val="24"/>
          <w:szCs w:val="24"/>
        </w:rPr>
        <w:t>É</w:t>
      </w:r>
      <w:r>
        <w:rPr>
          <w:rFonts w:ascii="Times New Roman" w:hAnsi="Times New Roman"/>
          <w:sz w:val="24"/>
          <w:szCs w:val="24"/>
        </w:rPr>
        <w:t>T</w:t>
      </w:r>
      <w:r w:rsidR="00C25B02">
        <w:rPr>
          <w:rFonts w:ascii="Times New Roman" w:hAnsi="Times New Roman"/>
          <w:sz w:val="24"/>
          <w:szCs w:val="24"/>
        </w:rPr>
        <w:t>É</w:t>
      </w:r>
      <w:r>
        <w:rPr>
          <w:rFonts w:ascii="Times New Roman" w:hAnsi="Times New Roman"/>
          <w:sz w:val="24"/>
          <w:szCs w:val="24"/>
        </w:rPr>
        <w:t xml:space="preserve"> G</w:t>
      </w:r>
      <w:r w:rsidR="00C25B02">
        <w:rPr>
          <w:rFonts w:ascii="Times New Roman" w:hAnsi="Times New Roman"/>
          <w:sz w:val="24"/>
          <w:szCs w:val="24"/>
        </w:rPr>
        <w:t>É</w:t>
      </w:r>
      <w:r>
        <w:rPr>
          <w:rFonts w:ascii="Times New Roman" w:hAnsi="Times New Roman"/>
          <w:sz w:val="24"/>
          <w:szCs w:val="24"/>
        </w:rPr>
        <w:t>N</w:t>
      </w:r>
      <w:r w:rsidR="00C25B02">
        <w:rPr>
          <w:rFonts w:ascii="Times New Roman" w:hAnsi="Times New Roman"/>
          <w:sz w:val="24"/>
          <w:szCs w:val="24"/>
        </w:rPr>
        <w:t>É</w:t>
      </w:r>
      <w:r>
        <w:rPr>
          <w:rFonts w:ascii="Times New Roman" w:hAnsi="Times New Roman"/>
          <w:sz w:val="24"/>
          <w:szCs w:val="24"/>
        </w:rPr>
        <w:t xml:space="preserve">RALE, lesquelles </w:t>
      </w:r>
      <w:r w:rsidRPr="00D94333">
        <w:rPr>
          <w:rFonts w:ascii="Times New Roman" w:hAnsi="Times New Roman"/>
          <w:sz w:val="24"/>
          <w:szCs w:val="24"/>
        </w:rPr>
        <w:t xml:space="preserve">représentent </w:t>
      </w:r>
      <w:r w:rsidRPr="00D94333">
        <w:rPr>
          <w:rFonts w:ascii="Times New Roman" w:hAnsi="Times New Roman"/>
          <w:bCs/>
          <w:sz w:val="24"/>
          <w:szCs w:val="24"/>
        </w:rPr>
        <w:t>plus de</w:t>
      </w:r>
      <w:r>
        <w:rPr>
          <w:rFonts w:ascii="Times New Roman" w:hAnsi="Times New Roman"/>
          <w:sz w:val="24"/>
          <w:szCs w:val="24"/>
        </w:rPr>
        <w:t xml:space="preserve"> 80</w:t>
      </w:r>
      <w:r w:rsidR="00C25B02">
        <w:rPr>
          <w:rFonts w:ascii="Times New Roman" w:hAnsi="Times New Roman"/>
          <w:sz w:val="24"/>
          <w:szCs w:val="24"/>
        </w:rPr>
        <w:t> </w:t>
      </w:r>
      <w:r>
        <w:rPr>
          <w:rFonts w:ascii="Times New Roman" w:hAnsi="Times New Roman"/>
          <w:sz w:val="24"/>
          <w:szCs w:val="24"/>
        </w:rPr>
        <w:t>% du secteur bancaire français – le besoin total en fonds propres s’élève à 7,3</w:t>
      </w:r>
      <w:r w:rsidR="00AF449D">
        <w:rPr>
          <w:rFonts w:ascii="Times New Roman" w:hAnsi="Times New Roman"/>
          <w:sz w:val="24"/>
          <w:szCs w:val="24"/>
        </w:rPr>
        <w:t> milliards d’euros</w:t>
      </w:r>
      <w:r>
        <w:rPr>
          <w:rFonts w:ascii="Times New Roman" w:hAnsi="Times New Roman"/>
          <w:sz w:val="24"/>
          <w:szCs w:val="24"/>
        </w:rPr>
        <w:t>, en amélioration par rapport au résultat provisoire de 8,8 </w:t>
      </w:r>
      <w:r w:rsidR="00AF449D">
        <w:rPr>
          <w:rFonts w:ascii="Times New Roman" w:hAnsi="Times New Roman"/>
          <w:sz w:val="24"/>
          <w:szCs w:val="24"/>
        </w:rPr>
        <w:t xml:space="preserve">milliards </w:t>
      </w:r>
      <w:r>
        <w:rPr>
          <w:rFonts w:ascii="Times New Roman" w:hAnsi="Times New Roman"/>
          <w:sz w:val="24"/>
          <w:szCs w:val="24"/>
        </w:rPr>
        <w:t>publié le 27</w:t>
      </w:r>
      <w:r w:rsidR="00C25B02">
        <w:rPr>
          <w:rFonts w:ascii="Times New Roman" w:hAnsi="Times New Roman"/>
          <w:sz w:val="24"/>
          <w:szCs w:val="24"/>
        </w:rPr>
        <w:t> </w:t>
      </w:r>
      <w:r>
        <w:rPr>
          <w:rFonts w:ascii="Times New Roman" w:hAnsi="Times New Roman"/>
          <w:sz w:val="24"/>
          <w:szCs w:val="24"/>
        </w:rPr>
        <w:t>octobre</w:t>
      </w:r>
      <w:r w:rsidR="00C25B02">
        <w:rPr>
          <w:rFonts w:ascii="Times New Roman" w:hAnsi="Times New Roman"/>
          <w:sz w:val="24"/>
          <w:szCs w:val="24"/>
        </w:rPr>
        <w:t> </w:t>
      </w:r>
      <w:r>
        <w:rPr>
          <w:rFonts w:ascii="Times New Roman" w:hAnsi="Times New Roman"/>
          <w:sz w:val="24"/>
          <w:szCs w:val="24"/>
        </w:rPr>
        <w:t>2011, compte tenu des résultats positifs que les groupes bancaires ont continué à dégager au 3</w:t>
      </w:r>
      <w:r>
        <w:rPr>
          <w:rFonts w:ascii="Times New Roman" w:hAnsi="Times New Roman"/>
          <w:sz w:val="24"/>
          <w:szCs w:val="24"/>
          <w:vertAlign w:val="superscript"/>
        </w:rPr>
        <w:t>e</w:t>
      </w:r>
      <w:r>
        <w:rPr>
          <w:rFonts w:ascii="Times New Roman" w:hAnsi="Times New Roman"/>
          <w:sz w:val="24"/>
          <w:szCs w:val="24"/>
        </w:rPr>
        <w:t xml:space="preserve"> trimestre. </w:t>
      </w:r>
      <w:r w:rsidRPr="00B93726">
        <w:rPr>
          <w:rFonts w:ascii="Times New Roman" w:hAnsi="Times New Roman"/>
          <w:bCs/>
          <w:sz w:val="24"/>
          <w:szCs w:val="24"/>
        </w:rPr>
        <w:t>Christian Noyer, Président de l’</w:t>
      </w:r>
      <w:r w:rsidR="00C25B02">
        <w:rPr>
          <w:rFonts w:ascii="Times New Roman" w:hAnsi="Times New Roman"/>
          <w:bCs/>
          <w:sz w:val="24"/>
          <w:szCs w:val="24"/>
        </w:rPr>
        <w:t>A</w:t>
      </w:r>
      <w:r w:rsidRPr="00B93726">
        <w:rPr>
          <w:rFonts w:ascii="Times New Roman" w:hAnsi="Times New Roman"/>
          <w:bCs/>
          <w:sz w:val="24"/>
          <w:szCs w:val="24"/>
        </w:rPr>
        <w:t xml:space="preserve">utorité de contrôle prudentiel s’est félicité de ces bons résultats et a rappelé que les augmentations de fonds propres se feront sans aide de l’État. </w:t>
      </w:r>
    </w:p>
    <w:p w:rsidR="00D94333" w:rsidRDefault="00D94333" w:rsidP="00D94333">
      <w:pPr>
        <w:pStyle w:val="Textebrut"/>
        <w:spacing w:line="276" w:lineRule="auto"/>
        <w:jc w:val="both"/>
        <w:rPr>
          <w:rFonts w:ascii="Times New Roman" w:hAnsi="Times New Roman"/>
          <w:sz w:val="24"/>
          <w:szCs w:val="24"/>
        </w:rPr>
      </w:pPr>
    </w:p>
    <w:p w:rsidR="00D94333" w:rsidRDefault="00D94333" w:rsidP="00D94333">
      <w:pPr>
        <w:pStyle w:val="Textebrut"/>
        <w:spacing w:line="276" w:lineRule="auto"/>
        <w:jc w:val="both"/>
        <w:rPr>
          <w:rFonts w:ascii="Times New Roman" w:hAnsi="Times New Roman"/>
          <w:sz w:val="24"/>
          <w:szCs w:val="24"/>
        </w:rPr>
      </w:pPr>
      <w:r>
        <w:rPr>
          <w:rFonts w:ascii="Times New Roman" w:hAnsi="Times New Roman"/>
          <w:sz w:val="24"/>
          <w:szCs w:val="24"/>
        </w:rPr>
        <w:t>Les banques devront soumettre à l’Autorité de Contrôle Prudentiel, d’ici le 13</w:t>
      </w:r>
      <w:r w:rsidR="00C25B02">
        <w:rPr>
          <w:rFonts w:ascii="Times New Roman" w:hAnsi="Times New Roman"/>
          <w:sz w:val="24"/>
          <w:szCs w:val="24"/>
        </w:rPr>
        <w:t> </w:t>
      </w:r>
      <w:r>
        <w:rPr>
          <w:rFonts w:ascii="Times New Roman" w:hAnsi="Times New Roman"/>
          <w:sz w:val="24"/>
          <w:szCs w:val="24"/>
        </w:rPr>
        <w:t>janvier</w:t>
      </w:r>
      <w:r w:rsidR="00C25B02">
        <w:rPr>
          <w:rFonts w:ascii="Times New Roman" w:hAnsi="Times New Roman"/>
          <w:sz w:val="24"/>
          <w:szCs w:val="24"/>
        </w:rPr>
        <w:t> </w:t>
      </w:r>
      <w:r>
        <w:rPr>
          <w:rFonts w:ascii="Times New Roman" w:hAnsi="Times New Roman"/>
          <w:sz w:val="24"/>
          <w:szCs w:val="24"/>
        </w:rPr>
        <w:t>2012, les plans de renforcement de leurs fonds propres et d’évolution de leurs risques montrant leur capacité à atteindre l’objectif de 9 % de « </w:t>
      </w:r>
      <w:proofErr w:type="spellStart"/>
      <w:r>
        <w:rPr>
          <w:rFonts w:ascii="Times New Roman" w:hAnsi="Times New Roman"/>
          <w:sz w:val="24"/>
          <w:szCs w:val="24"/>
        </w:rPr>
        <w:t>Core</w:t>
      </w:r>
      <w:proofErr w:type="spellEnd"/>
      <w:r>
        <w:rPr>
          <w:rFonts w:ascii="Times New Roman" w:hAnsi="Times New Roman"/>
          <w:sz w:val="24"/>
          <w:szCs w:val="24"/>
        </w:rPr>
        <w:t xml:space="preserve"> </w:t>
      </w:r>
      <w:proofErr w:type="spellStart"/>
      <w:r>
        <w:rPr>
          <w:rFonts w:ascii="Times New Roman" w:hAnsi="Times New Roman"/>
          <w:sz w:val="24"/>
          <w:szCs w:val="24"/>
        </w:rPr>
        <w:t>Tier</w:t>
      </w:r>
      <w:proofErr w:type="spellEnd"/>
      <w:r>
        <w:rPr>
          <w:rFonts w:ascii="Times New Roman" w:hAnsi="Times New Roman"/>
          <w:sz w:val="24"/>
          <w:szCs w:val="24"/>
        </w:rPr>
        <w:t xml:space="preserve"> One » au 30</w:t>
      </w:r>
      <w:r w:rsidR="00C25B02">
        <w:rPr>
          <w:rFonts w:ascii="Times New Roman" w:hAnsi="Times New Roman"/>
          <w:sz w:val="24"/>
          <w:szCs w:val="24"/>
        </w:rPr>
        <w:t> juin </w:t>
      </w:r>
      <w:r>
        <w:rPr>
          <w:rFonts w:ascii="Times New Roman" w:hAnsi="Times New Roman"/>
          <w:sz w:val="24"/>
          <w:szCs w:val="24"/>
        </w:rPr>
        <w:t>2012.</w:t>
      </w:r>
    </w:p>
    <w:p w:rsidR="000C2B1F" w:rsidRPr="001D4976" w:rsidRDefault="000C2B1F" w:rsidP="001D4976">
      <w:pPr>
        <w:pStyle w:val="Textebrut"/>
        <w:spacing w:line="276" w:lineRule="auto"/>
        <w:jc w:val="both"/>
        <w:rPr>
          <w:rFonts w:ascii="Times New Roman" w:hAnsi="Times New Roman" w:cs="Times New Roman"/>
          <w:sz w:val="24"/>
          <w:szCs w:val="24"/>
        </w:rPr>
      </w:pPr>
    </w:p>
    <w:p w:rsidR="00E82A83" w:rsidRDefault="0031002E" w:rsidP="00E82A83">
      <w:pPr>
        <w:pStyle w:val="Textebrut"/>
        <w:pBdr>
          <w:bottom w:val="single" w:sz="12" w:space="1" w:color="auto"/>
        </w:pBdr>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001D4976" w:rsidRPr="001D4976">
        <w:rPr>
          <w:rFonts w:ascii="Times New Roman" w:hAnsi="Times New Roman" w:cs="Times New Roman"/>
          <w:sz w:val="24"/>
          <w:szCs w:val="24"/>
        </w:rPr>
        <w:t>a situati</w:t>
      </w:r>
      <w:r>
        <w:rPr>
          <w:rFonts w:ascii="Times New Roman" w:hAnsi="Times New Roman" w:cs="Times New Roman"/>
          <w:sz w:val="24"/>
          <w:szCs w:val="24"/>
        </w:rPr>
        <w:t>on détaillée banque par</w:t>
      </w:r>
      <w:r w:rsidR="00E82A83">
        <w:rPr>
          <w:rFonts w:ascii="Times New Roman" w:hAnsi="Times New Roman" w:cs="Times New Roman"/>
          <w:sz w:val="24"/>
          <w:szCs w:val="24"/>
        </w:rPr>
        <w:t xml:space="preserve"> banque est présentée en annexe</w:t>
      </w:r>
    </w:p>
    <w:p w:rsidR="00E82A83" w:rsidRPr="00E82A83" w:rsidRDefault="00E82A83" w:rsidP="00E82A83">
      <w:pPr>
        <w:pStyle w:val="Textebrut"/>
        <w:pBdr>
          <w:bottom w:val="single" w:sz="12" w:space="1" w:color="auto"/>
        </w:pBdr>
        <w:spacing w:line="276" w:lineRule="auto"/>
        <w:jc w:val="both"/>
        <w:rPr>
          <w:rFonts w:ascii="Times New Roman" w:hAnsi="Times New Roman" w:cs="Times New Roman"/>
          <w:sz w:val="24"/>
          <w:szCs w:val="24"/>
        </w:rPr>
      </w:pPr>
    </w:p>
    <w:p w:rsidR="00E82A83" w:rsidRDefault="00E82A83" w:rsidP="00C544BA"/>
    <w:p w:rsidR="001D4976" w:rsidRDefault="00882E2E" w:rsidP="00C544BA">
      <w:r>
        <w:t>Contact Presse </w:t>
      </w:r>
      <w:r w:rsidR="00CA44A3">
        <w:t xml:space="preserve">: </w:t>
      </w:r>
      <w:r w:rsidR="001D4976">
        <w:t>01 42 92 39 00</w:t>
      </w:r>
      <w:r w:rsidR="00E82A83">
        <w:t xml:space="preserve">/ </w:t>
      </w:r>
      <w:r w:rsidR="001D4976">
        <w:t>01 42 92 44 30</w:t>
      </w:r>
    </w:p>
    <w:p w:rsidR="0031002E" w:rsidRDefault="0031002E" w:rsidP="00C544BA"/>
    <w:p w:rsidR="0031002E" w:rsidRDefault="0031002E" w:rsidP="00C544BA"/>
    <w:p w:rsidR="0031002E" w:rsidRPr="003912C0" w:rsidRDefault="0031002E" w:rsidP="0031002E">
      <w:pPr>
        <w:jc w:val="center"/>
        <w:rPr>
          <w:rFonts w:ascii="Arial" w:hAnsi="Arial" w:cs="Arial"/>
          <w:b/>
          <w:sz w:val="28"/>
          <w:szCs w:val="28"/>
        </w:rPr>
      </w:pPr>
      <w:r w:rsidRPr="003912C0">
        <w:rPr>
          <w:rFonts w:ascii="Arial" w:hAnsi="Arial" w:cs="Arial"/>
          <w:b/>
          <w:sz w:val="28"/>
          <w:szCs w:val="28"/>
        </w:rPr>
        <w:t>Annexe</w:t>
      </w:r>
    </w:p>
    <w:p w:rsidR="0031002E" w:rsidRPr="003912C0" w:rsidRDefault="0031002E" w:rsidP="0031002E">
      <w:pPr>
        <w:jc w:val="center"/>
        <w:rPr>
          <w:rFonts w:ascii="Arial" w:hAnsi="Arial" w:cs="Arial"/>
          <w:b/>
          <w:sz w:val="28"/>
          <w:szCs w:val="28"/>
        </w:rPr>
      </w:pPr>
    </w:p>
    <w:p w:rsidR="0031002E" w:rsidRPr="003912C0" w:rsidRDefault="0031002E" w:rsidP="0031002E">
      <w:pPr>
        <w:jc w:val="center"/>
        <w:rPr>
          <w:rFonts w:ascii="Arial" w:hAnsi="Arial" w:cs="Arial"/>
          <w:b/>
          <w:sz w:val="28"/>
          <w:szCs w:val="28"/>
        </w:rPr>
      </w:pPr>
      <w:r w:rsidRPr="003912C0">
        <w:rPr>
          <w:rFonts w:ascii="Arial" w:hAnsi="Arial" w:cs="Arial"/>
          <w:b/>
          <w:bCs/>
          <w:sz w:val="28"/>
          <w:szCs w:val="28"/>
        </w:rPr>
        <w:t>Besoin de fonds propres issu de l'exercice coordonné par l'ABE</w:t>
      </w:r>
    </w:p>
    <w:p w:rsidR="0031002E" w:rsidRPr="0031002E" w:rsidRDefault="0031002E" w:rsidP="0031002E">
      <w:pPr>
        <w:jc w:val="center"/>
        <w:rPr>
          <w:b/>
          <w:sz w:val="28"/>
          <w:szCs w:val="28"/>
        </w:rPr>
      </w:pPr>
    </w:p>
    <w:p w:rsidR="0031002E" w:rsidRDefault="0031002E" w:rsidP="00C544BA"/>
    <w:p w:rsidR="00D94333" w:rsidRDefault="00D94333" w:rsidP="00D94333"/>
    <w:tbl>
      <w:tblPr>
        <w:tblW w:w="5387" w:type="pct"/>
        <w:tblInd w:w="-497" w:type="dxa"/>
        <w:tblCellMar>
          <w:left w:w="70" w:type="dxa"/>
          <w:right w:w="70" w:type="dxa"/>
        </w:tblCellMar>
        <w:tblLook w:val="04A0"/>
      </w:tblPr>
      <w:tblGrid>
        <w:gridCol w:w="2268"/>
        <w:gridCol w:w="1701"/>
        <w:gridCol w:w="1703"/>
        <w:gridCol w:w="2129"/>
        <w:gridCol w:w="2122"/>
      </w:tblGrid>
      <w:tr w:rsidR="00D94333" w:rsidRPr="00CB60B1" w:rsidTr="00FC253D">
        <w:trPr>
          <w:trHeight w:val="2490"/>
        </w:trPr>
        <w:tc>
          <w:tcPr>
            <w:tcW w:w="1143" w:type="pct"/>
            <w:tcBorders>
              <w:top w:val="single" w:sz="8" w:space="0" w:color="auto"/>
              <w:left w:val="single" w:sz="8" w:space="0" w:color="auto"/>
              <w:bottom w:val="single" w:sz="8" w:space="0" w:color="auto"/>
              <w:right w:val="nil"/>
            </w:tcBorders>
            <w:shd w:val="clear" w:color="auto" w:fill="BFBFBF" w:themeFill="background1" w:themeFillShade="BF"/>
            <w:vAlign w:val="center"/>
            <w:hideMark/>
          </w:tcPr>
          <w:p w:rsidR="00D94333" w:rsidRPr="00D94333" w:rsidRDefault="00D94333" w:rsidP="00FC253D">
            <w:pPr>
              <w:jc w:val="center"/>
              <w:rPr>
                <w:rFonts w:ascii="Arial" w:hAnsi="Arial" w:cs="Arial"/>
                <w:b/>
                <w:bCs/>
                <w:sz w:val="18"/>
                <w:szCs w:val="18"/>
                <w:highlight w:val="lightGray"/>
              </w:rPr>
            </w:pPr>
            <w:r w:rsidRPr="00D94333">
              <w:rPr>
                <w:rFonts w:ascii="Arial" w:hAnsi="Arial" w:cs="Arial"/>
                <w:b/>
                <w:bCs/>
                <w:sz w:val="18"/>
                <w:szCs w:val="18"/>
                <w:highlight w:val="lightGray"/>
              </w:rPr>
              <w:t>Situation au</w:t>
            </w:r>
          </w:p>
          <w:p w:rsidR="00D94333" w:rsidRPr="00D94333" w:rsidRDefault="00D94333" w:rsidP="00FC253D">
            <w:pPr>
              <w:jc w:val="center"/>
              <w:rPr>
                <w:rFonts w:ascii="Arial" w:hAnsi="Arial" w:cs="Arial"/>
                <w:b/>
                <w:bCs/>
                <w:sz w:val="18"/>
                <w:szCs w:val="18"/>
                <w:highlight w:val="lightGray"/>
              </w:rPr>
            </w:pPr>
            <w:r w:rsidRPr="00D94333">
              <w:rPr>
                <w:rFonts w:ascii="Arial" w:hAnsi="Arial" w:cs="Arial"/>
                <w:b/>
                <w:bCs/>
                <w:sz w:val="18"/>
                <w:szCs w:val="18"/>
                <w:highlight w:val="lightGray"/>
              </w:rPr>
              <w:t>30 septembre 2011</w:t>
            </w:r>
          </w:p>
        </w:tc>
        <w:tc>
          <w:tcPr>
            <w:tcW w:w="857" w:type="pct"/>
            <w:tcBorders>
              <w:top w:val="single" w:sz="8" w:space="0" w:color="auto"/>
              <w:left w:val="single" w:sz="8" w:space="0" w:color="auto"/>
              <w:bottom w:val="single" w:sz="8" w:space="0" w:color="auto"/>
              <w:right w:val="nil"/>
            </w:tcBorders>
            <w:shd w:val="clear" w:color="auto" w:fill="BFBFBF" w:themeFill="background1" w:themeFillShade="BF"/>
            <w:vAlign w:val="center"/>
            <w:hideMark/>
          </w:tcPr>
          <w:p w:rsidR="00D94333" w:rsidRPr="00D94333" w:rsidRDefault="00D94333" w:rsidP="00FC253D">
            <w:pPr>
              <w:jc w:val="center"/>
              <w:rPr>
                <w:rFonts w:ascii="Arial" w:hAnsi="Arial" w:cs="Arial"/>
                <w:b/>
                <w:bCs/>
                <w:sz w:val="18"/>
                <w:szCs w:val="18"/>
                <w:highlight w:val="lightGray"/>
              </w:rPr>
            </w:pPr>
            <w:r w:rsidRPr="00D94333">
              <w:rPr>
                <w:rFonts w:ascii="Arial" w:hAnsi="Arial" w:cs="Arial"/>
                <w:b/>
                <w:bCs/>
                <w:sz w:val="18"/>
                <w:szCs w:val="18"/>
                <w:highlight w:val="lightGray"/>
              </w:rPr>
              <w:t xml:space="preserve">Ratio </w:t>
            </w:r>
            <w:proofErr w:type="spellStart"/>
            <w:r w:rsidRPr="00D94333">
              <w:rPr>
                <w:rFonts w:ascii="Arial" w:hAnsi="Arial" w:cs="Arial"/>
                <w:b/>
                <w:bCs/>
                <w:sz w:val="18"/>
                <w:szCs w:val="18"/>
                <w:highlight w:val="lightGray"/>
              </w:rPr>
              <w:t>Core</w:t>
            </w:r>
            <w:proofErr w:type="spellEnd"/>
            <w:r w:rsidRPr="00D94333">
              <w:rPr>
                <w:rFonts w:ascii="Arial" w:hAnsi="Arial" w:cs="Arial"/>
                <w:b/>
                <w:bCs/>
                <w:sz w:val="18"/>
                <w:szCs w:val="18"/>
                <w:highlight w:val="lightGray"/>
              </w:rPr>
              <w:t xml:space="preserve"> </w:t>
            </w:r>
            <w:proofErr w:type="spellStart"/>
            <w:r w:rsidRPr="00D94333">
              <w:rPr>
                <w:rFonts w:ascii="Arial" w:hAnsi="Arial" w:cs="Arial"/>
                <w:b/>
                <w:bCs/>
                <w:sz w:val="18"/>
                <w:szCs w:val="18"/>
                <w:highlight w:val="lightGray"/>
              </w:rPr>
              <w:t>Tier</w:t>
            </w:r>
            <w:proofErr w:type="spellEnd"/>
            <w:r w:rsidRPr="00D94333">
              <w:rPr>
                <w:rFonts w:ascii="Arial" w:hAnsi="Arial" w:cs="Arial"/>
                <w:b/>
                <w:bCs/>
                <w:sz w:val="18"/>
                <w:szCs w:val="18"/>
                <w:highlight w:val="lightGray"/>
              </w:rPr>
              <w:t xml:space="preserve"> 1</w:t>
            </w:r>
          </w:p>
          <w:p w:rsidR="00D94333" w:rsidRPr="00D94333" w:rsidRDefault="00D94333" w:rsidP="00FC253D">
            <w:pPr>
              <w:jc w:val="center"/>
              <w:rPr>
                <w:rFonts w:ascii="Arial" w:hAnsi="Arial" w:cs="Arial"/>
                <w:b/>
                <w:bCs/>
                <w:sz w:val="18"/>
                <w:szCs w:val="18"/>
                <w:highlight w:val="lightGray"/>
              </w:rPr>
            </w:pPr>
            <w:r w:rsidRPr="00D94333">
              <w:rPr>
                <w:rFonts w:ascii="Arial" w:hAnsi="Arial" w:cs="Arial"/>
                <w:b/>
                <w:bCs/>
                <w:sz w:val="18"/>
                <w:szCs w:val="18"/>
                <w:highlight w:val="lightGray"/>
              </w:rPr>
              <w:t>après application de la CRD3</w:t>
            </w:r>
          </w:p>
          <w:p w:rsidR="00D94333" w:rsidRPr="00D94333" w:rsidRDefault="00D94333" w:rsidP="00FC253D">
            <w:pPr>
              <w:jc w:val="center"/>
              <w:rPr>
                <w:rFonts w:ascii="Arial" w:hAnsi="Arial" w:cs="Arial"/>
                <w:b/>
                <w:bCs/>
                <w:sz w:val="18"/>
                <w:szCs w:val="18"/>
                <w:highlight w:val="lightGray"/>
              </w:rPr>
            </w:pPr>
            <w:r w:rsidRPr="00D94333">
              <w:rPr>
                <w:rFonts w:ascii="Arial" w:hAnsi="Arial" w:cs="Arial"/>
                <w:b/>
                <w:bCs/>
                <w:sz w:val="18"/>
                <w:szCs w:val="18"/>
                <w:highlight w:val="lightGray"/>
              </w:rPr>
              <w:br/>
              <w:t>(1)</w:t>
            </w:r>
          </w:p>
        </w:tc>
        <w:tc>
          <w:tcPr>
            <w:tcW w:w="85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D94333" w:rsidRPr="00D94333" w:rsidRDefault="00D94333" w:rsidP="00FC253D">
            <w:pPr>
              <w:jc w:val="center"/>
              <w:rPr>
                <w:rFonts w:ascii="Arial" w:hAnsi="Arial" w:cs="Arial"/>
                <w:b/>
                <w:bCs/>
                <w:sz w:val="18"/>
                <w:szCs w:val="18"/>
                <w:highlight w:val="lightGray"/>
              </w:rPr>
            </w:pPr>
            <w:r w:rsidRPr="00D94333">
              <w:rPr>
                <w:rFonts w:ascii="Arial" w:hAnsi="Arial" w:cs="Arial"/>
                <w:b/>
                <w:bCs/>
                <w:sz w:val="18"/>
                <w:szCs w:val="18"/>
                <w:highlight w:val="lightGray"/>
              </w:rPr>
              <w:t xml:space="preserve">Ratio </w:t>
            </w:r>
            <w:proofErr w:type="spellStart"/>
            <w:r w:rsidRPr="00D94333">
              <w:rPr>
                <w:rFonts w:ascii="Arial" w:hAnsi="Arial" w:cs="Arial"/>
                <w:b/>
                <w:bCs/>
                <w:sz w:val="18"/>
                <w:szCs w:val="18"/>
                <w:highlight w:val="lightGray"/>
              </w:rPr>
              <w:t>Core</w:t>
            </w:r>
            <w:proofErr w:type="spellEnd"/>
            <w:r w:rsidRPr="00D94333">
              <w:rPr>
                <w:rFonts w:ascii="Arial" w:hAnsi="Arial" w:cs="Arial"/>
                <w:b/>
                <w:bCs/>
                <w:sz w:val="18"/>
                <w:szCs w:val="18"/>
                <w:highlight w:val="lightGray"/>
              </w:rPr>
              <w:t xml:space="preserve"> </w:t>
            </w:r>
            <w:proofErr w:type="spellStart"/>
            <w:r w:rsidRPr="00D94333">
              <w:rPr>
                <w:rFonts w:ascii="Arial" w:hAnsi="Arial" w:cs="Arial"/>
                <w:b/>
                <w:bCs/>
                <w:sz w:val="18"/>
                <w:szCs w:val="18"/>
                <w:highlight w:val="lightGray"/>
              </w:rPr>
              <w:t>Tier</w:t>
            </w:r>
            <w:proofErr w:type="spellEnd"/>
            <w:r w:rsidRPr="00D94333">
              <w:rPr>
                <w:rFonts w:ascii="Arial" w:hAnsi="Arial" w:cs="Arial"/>
                <w:b/>
                <w:bCs/>
                <w:sz w:val="18"/>
                <w:szCs w:val="18"/>
                <w:highlight w:val="lightGray"/>
              </w:rPr>
              <w:t xml:space="preserve"> 1 après application de la CRD3 (1)</w:t>
            </w:r>
          </w:p>
          <w:p w:rsidR="00D94333" w:rsidRPr="00D94333" w:rsidRDefault="00D94333" w:rsidP="00FC253D">
            <w:pPr>
              <w:jc w:val="center"/>
              <w:rPr>
                <w:rFonts w:ascii="Arial" w:hAnsi="Arial" w:cs="Arial"/>
                <w:b/>
                <w:bCs/>
                <w:sz w:val="18"/>
                <w:szCs w:val="18"/>
                <w:highlight w:val="lightGray"/>
              </w:rPr>
            </w:pPr>
            <w:r w:rsidRPr="00D94333">
              <w:rPr>
                <w:rFonts w:ascii="Arial" w:hAnsi="Arial" w:cs="Arial"/>
                <w:b/>
                <w:bCs/>
                <w:sz w:val="18"/>
                <w:szCs w:val="18"/>
                <w:highlight w:val="lightGray"/>
              </w:rPr>
              <w:t>et du coussin de sécurité sur expositions souveraines</w:t>
            </w:r>
          </w:p>
          <w:p w:rsidR="00D94333" w:rsidRPr="00D94333" w:rsidRDefault="00D94333" w:rsidP="00FC253D">
            <w:pPr>
              <w:jc w:val="center"/>
              <w:rPr>
                <w:rFonts w:ascii="Arial" w:hAnsi="Arial" w:cs="Arial"/>
                <w:b/>
                <w:bCs/>
                <w:sz w:val="18"/>
                <w:szCs w:val="18"/>
                <w:highlight w:val="lightGray"/>
              </w:rPr>
            </w:pPr>
            <w:r w:rsidRPr="00D94333">
              <w:rPr>
                <w:rFonts w:ascii="Arial" w:hAnsi="Arial" w:cs="Arial"/>
                <w:b/>
                <w:bCs/>
                <w:sz w:val="18"/>
                <w:szCs w:val="18"/>
                <w:highlight w:val="lightGray"/>
              </w:rPr>
              <w:br/>
              <w:t>(2)</w:t>
            </w:r>
          </w:p>
        </w:tc>
        <w:tc>
          <w:tcPr>
            <w:tcW w:w="1073"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D94333" w:rsidRPr="00D94333" w:rsidRDefault="00D94333" w:rsidP="00FC253D">
            <w:pPr>
              <w:jc w:val="center"/>
              <w:rPr>
                <w:rFonts w:ascii="Arial" w:hAnsi="Arial" w:cs="Arial"/>
                <w:b/>
                <w:bCs/>
                <w:sz w:val="18"/>
                <w:szCs w:val="18"/>
                <w:highlight w:val="lightGray"/>
              </w:rPr>
            </w:pPr>
            <w:r w:rsidRPr="00D94333">
              <w:rPr>
                <w:rFonts w:ascii="Arial" w:hAnsi="Arial" w:cs="Arial"/>
                <w:b/>
                <w:bCs/>
                <w:sz w:val="18"/>
                <w:szCs w:val="18"/>
                <w:highlight w:val="lightGray"/>
              </w:rPr>
              <w:t>Besoin de fonds propres par rapport à un objectif de 9% après application de la CRD3 et du coussin de sécurité sur expositions souveraines</w:t>
            </w:r>
          </w:p>
          <w:p w:rsidR="00D94333" w:rsidRPr="00D94333" w:rsidRDefault="00D94333" w:rsidP="00FC253D">
            <w:pPr>
              <w:jc w:val="center"/>
              <w:rPr>
                <w:rFonts w:ascii="Arial" w:hAnsi="Arial" w:cs="Arial"/>
                <w:b/>
                <w:bCs/>
                <w:sz w:val="18"/>
                <w:szCs w:val="18"/>
                <w:highlight w:val="lightGray"/>
              </w:rPr>
            </w:pPr>
            <w:r w:rsidRPr="00D94333">
              <w:rPr>
                <w:rFonts w:ascii="Arial" w:hAnsi="Arial" w:cs="Arial"/>
                <w:b/>
                <w:bCs/>
                <w:sz w:val="18"/>
                <w:szCs w:val="18"/>
                <w:highlight w:val="lightGray"/>
              </w:rPr>
              <w:br/>
              <w:t>(2)</w:t>
            </w:r>
          </w:p>
        </w:tc>
        <w:tc>
          <w:tcPr>
            <w:tcW w:w="1070"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D94333" w:rsidRPr="00D94333" w:rsidRDefault="00D94333" w:rsidP="00FC253D">
            <w:pPr>
              <w:jc w:val="center"/>
              <w:rPr>
                <w:rFonts w:ascii="Arial" w:hAnsi="Arial" w:cs="Arial"/>
                <w:b/>
                <w:bCs/>
                <w:i/>
                <w:iCs/>
                <w:sz w:val="18"/>
                <w:szCs w:val="18"/>
                <w:highlight w:val="lightGray"/>
              </w:rPr>
            </w:pPr>
            <w:r w:rsidRPr="00D94333">
              <w:rPr>
                <w:rFonts w:ascii="Arial" w:hAnsi="Arial" w:cs="Arial"/>
                <w:b/>
                <w:bCs/>
                <w:i/>
                <w:iCs/>
                <w:sz w:val="18"/>
                <w:szCs w:val="18"/>
                <w:highlight w:val="lightGray"/>
              </w:rPr>
              <w:t>dont coussin de sécurité sur expositions souveraines</w:t>
            </w:r>
          </w:p>
          <w:p w:rsidR="00D94333" w:rsidRPr="00D94333" w:rsidRDefault="00D94333" w:rsidP="00FC253D">
            <w:pPr>
              <w:jc w:val="center"/>
              <w:rPr>
                <w:rFonts w:ascii="Arial" w:hAnsi="Arial" w:cs="Arial"/>
                <w:b/>
                <w:bCs/>
                <w:i/>
                <w:iCs/>
                <w:sz w:val="18"/>
                <w:szCs w:val="18"/>
                <w:highlight w:val="lightGray"/>
              </w:rPr>
            </w:pPr>
            <w:r w:rsidRPr="00D94333">
              <w:rPr>
                <w:rFonts w:ascii="Arial" w:hAnsi="Arial" w:cs="Arial"/>
                <w:b/>
                <w:bCs/>
                <w:i/>
                <w:iCs/>
                <w:sz w:val="18"/>
                <w:szCs w:val="18"/>
                <w:highlight w:val="lightGray"/>
              </w:rPr>
              <w:br/>
              <w:t>(2)</w:t>
            </w:r>
          </w:p>
        </w:tc>
      </w:tr>
      <w:tr w:rsidR="00D94333" w:rsidRPr="0031002E" w:rsidTr="00FC253D">
        <w:trPr>
          <w:trHeight w:val="570"/>
        </w:trPr>
        <w:tc>
          <w:tcPr>
            <w:tcW w:w="1143" w:type="pct"/>
            <w:tcBorders>
              <w:top w:val="nil"/>
              <w:left w:val="single" w:sz="8" w:space="0" w:color="auto"/>
              <w:bottom w:val="single" w:sz="4" w:space="0" w:color="auto"/>
              <w:right w:val="nil"/>
            </w:tcBorders>
            <w:shd w:val="clear" w:color="auto" w:fill="auto"/>
            <w:vAlign w:val="center"/>
            <w:hideMark/>
          </w:tcPr>
          <w:p w:rsidR="00D94333" w:rsidRPr="0031002E" w:rsidRDefault="00D94333" w:rsidP="00FC253D">
            <w:pPr>
              <w:jc w:val="left"/>
              <w:rPr>
                <w:rFonts w:ascii="Arial" w:hAnsi="Arial" w:cs="Arial"/>
                <w:b/>
                <w:bCs/>
                <w:sz w:val="20"/>
              </w:rPr>
            </w:pPr>
            <w:r w:rsidRPr="0031002E">
              <w:rPr>
                <w:rFonts w:ascii="Arial" w:hAnsi="Arial" w:cs="Arial"/>
                <w:b/>
                <w:bCs/>
                <w:sz w:val="20"/>
              </w:rPr>
              <w:t>BNP</w:t>
            </w:r>
            <w:r>
              <w:rPr>
                <w:rFonts w:ascii="Arial" w:hAnsi="Arial" w:cs="Arial"/>
                <w:b/>
                <w:bCs/>
                <w:sz w:val="20"/>
              </w:rPr>
              <w:t xml:space="preserve"> </w:t>
            </w:r>
            <w:r w:rsidRPr="0031002E">
              <w:rPr>
                <w:rFonts w:ascii="Arial" w:hAnsi="Arial" w:cs="Arial"/>
                <w:b/>
                <w:bCs/>
                <w:sz w:val="20"/>
              </w:rPr>
              <w:t>P</w:t>
            </w:r>
            <w:r>
              <w:rPr>
                <w:rFonts w:ascii="Arial" w:hAnsi="Arial" w:cs="Arial"/>
                <w:b/>
                <w:bCs/>
                <w:sz w:val="20"/>
              </w:rPr>
              <w:t>ARIBAS</w:t>
            </w:r>
          </w:p>
        </w:tc>
        <w:tc>
          <w:tcPr>
            <w:tcW w:w="857" w:type="pct"/>
            <w:tcBorders>
              <w:top w:val="nil"/>
              <w:left w:val="single" w:sz="8" w:space="0" w:color="auto"/>
              <w:bottom w:val="single" w:sz="4" w:space="0" w:color="auto"/>
              <w:right w:val="single" w:sz="8" w:space="0" w:color="auto"/>
            </w:tcBorders>
            <w:shd w:val="clear" w:color="000000" w:fill="FFFFFF"/>
            <w:vAlign w:val="center"/>
            <w:hideMark/>
          </w:tcPr>
          <w:p w:rsidR="00D94333" w:rsidRPr="0031002E" w:rsidRDefault="00B46036" w:rsidP="00FC253D">
            <w:pPr>
              <w:jc w:val="center"/>
              <w:rPr>
                <w:rFonts w:ascii="Arial" w:hAnsi="Arial" w:cs="Arial"/>
                <w:b/>
                <w:bCs/>
                <w:sz w:val="20"/>
              </w:rPr>
            </w:pPr>
            <w:r>
              <w:rPr>
                <w:rFonts w:ascii="Arial" w:hAnsi="Arial" w:cs="Arial"/>
                <w:b/>
                <w:bCs/>
                <w:sz w:val="20"/>
              </w:rPr>
              <w:t>9,16</w:t>
            </w:r>
            <w:r w:rsidR="00D94333" w:rsidRPr="0031002E">
              <w:rPr>
                <w:rFonts w:ascii="Arial" w:hAnsi="Arial" w:cs="Arial"/>
                <w:b/>
                <w:bCs/>
                <w:sz w:val="20"/>
              </w:rPr>
              <w:t>%</w:t>
            </w:r>
          </w:p>
        </w:tc>
        <w:tc>
          <w:tcPr>
            <w:tcW w:w="858" w:type="pct"/>
            <w:tcBorders>
              <w:top w:val="nil"/>
              <w:left w:val="single" w:sz="4" w:space="0" w:color="auto"/>
              <w:bottom w:val="single" w:sz="4" w:space="0" w:color="auto"/>
              <w:right w:val="single" w:sz="8" w:space="0" w:color="auto"/>
            </w:tcBorders>
            <w:shd w:val="clear" w:color="000000" w:fill="FFFFFF"/>
            <w:vAlign w:val="center"/>
            <w:hideMark/>
          </w:tcPr>
          <w:p w:rsidR="00D94333" w:rsidRPr="0031002E" w:rsidRDefault="00B46036" w:rsidP="00FC253D">
            <w:pPr>
              <w:jc w:val="center"/>
              <w:rPr>
                <w:rFonts w:ascii="Arial" w:hAnsi="Arial" w:cs="Arial"/>
                <w:b/>
                <w:bCs/>
                <w:sz w:val="20"/>
              </w:rPr>
            </w:pPr>
            <w:r>
              <w:rPr>
                <w:rFonts w:ascii="Arial" w:hAnsi="Arial" w:cs="Arial"/>
                <w:b/>
                <w:bCs/>
                <w:sz w:val="20"/>
              </w:rPr>
              <w:t>8,76</w:t>
            </w:r>
            <w:r w:rsidR="00D94333" w:rsidRPr="0031002E">
              <w:rPr>
                <w:rFonts w:ascii="Arial" w:hAnsi="Arial" w:cs="Arial"/>
                <w:b/>
                <w:bCs/>
                <w:sz w:val="20"/>
              </w:rPr>
              <w:t>%</w:t>
            </w:r>
          </w:p>
        </w:tc>
        <w:tc>
          <w:tcPr>
            <w:tcW w:w="1073" w:type="pct"/>
            <w:tcBorders>
              <w:top w:val="nil"/>
              <w:left w:val="single" w:sz="4" w:space="0" w:color="auto"/>
              <w:bottom w:val="single" w:sz="4" w:space="0" w:color="auto"/>
              <w:right w:val="single" w:sz="8" w:space="0" w:color="auto"/>
            </w:tcBorders>
            <w:shd w:val="clear" w:color="000000" w:fill="FFFFFF"/>
            <w:vAlign w:val="center"/>
            <w:hideMark/>
          </w:tcPr>
          <w:p w:rsidR="00D94333" w:rsidRPr="0031002E" w:rsidRDefault="00B46036" w:rsidP="00FC253D">
            <w:pPr>
              <w:jc w:val="center"/>
              <w:rPr>
                <w:rFonts w:ascii="Arial" w:hAnsi="Arial" w:cs="Arial"/>
                <w:b/>
                <w:bCs/>
                <w:sz w:val="20"/>
              </w:rPr>
            </w:pPr>
            <w:r>
              <w:rPr>
                <w:rFonts w:ascii="Arial" w:hAnsi="Arial" w:cs="Arial"/>
                <w:b/>
                <w:bCs/>
                <w:sz w:val="20"/>
              </w:rPr>
              <w:t>1,5</w:t>
            </w:r>
            <w:r w:rsidR="00D94333">
              <w:rPr>
                <w:rFonts w:ascii="Arial" w:hAnsi="Arial" w:cs="Arial"/>
                <w:b/>
                <w:bCs/>
                <w:sz w:val="20"/>
              </w:rPr>
              <w:t xml:space="preserve"> </w:t>
            </w:r>
            <w:r w:rsidR="00D94333" w:rsidRPr="0031002E">
              <w:rPr>
                <w:rFonts w:ascii="Arial" w:hAnsi="Arial" w:cs="Arial"/>
                <w:b/>
                <w:bCs/>
                <w:sz w:val="20"/>
              </w:rPr>
              <w:t>milliards d'euros</w:t>
            </w:r>
          </w:p>
        </w:tc>
        <w:tc>
          <w:tcPr>
            <w:tcW w:w="1070" w:type="pct"/>
            <w:tcBorders>
              <w:top w:val="nil"/>
              <w:left w:val="single" w:sz="4" w:space="0" w:color="auto"/>
              <w:bottom w:val="single" w:sz="4" w:space="0" w:color="auto"/>
              <w:right w:val="single" w:sz="8" w:space="0" w:color="auto"/>
            </w:tcBorders>
            <w:shd w:val="clear" w:color="000000" w:fill="FFFFFF"/>
            <w:vAlign w:val="center"/>
            <w:hideMark/>
          </w:tcPr>
          <w:p w:rsidR="00D94333" w:rsidRPr="0031002E" w:rsidRDefault="00B46036" w:rsidP="00FC253D">
            <w:pPr>
              <w:jc w:val="center"/>
              <w:rPr>
                <w:rFonts w:ascii="Arial" w:hAnsi="Arial" w:cs="Arial"/>
                <w:b/>
                <w:bCs/>
                <w:i/>
                <w:iCs/>
                <w:sz w:val="20"/>
              </w:rPr>
            </w:pPr>
            <w:r>
              <w:rPr>
                <w:rFonts w:ascii="Arial" w:hAnsi="Arial" w:cs="Arial"/>
                <w:b/>
                <w:bCs/>
                <w:i/>
                <w:iCs/>
                <w:sz w:val="20"/>
              </w:rPr>
              <w:t>2,5</w:t>
            </w:r>
            <w:r w:rsidR="00D94333">
              <w:rPr>
                <w:rFonts w:ascii="Arial" w:hAnsi="Arial" w:cs="Arial"/>
                <w:b/>
                <w:bCs/>
                <w:i/>
                <w:iCs/>
                <w:sz w:val="20"/>
              </w:rPr>
              <w:t xml:space="preserve"> </w:t>
            </w:r>
            <w:r w:rsidR="00D94333" w:rsidRPr="0031002E">
              <w:rPr>
                <w:rFonts w:ascii="Arial" w:hAnsi="Arial" w:cs="Arial"/>
                <w:b/>
                <w:bCs/>
                <w:i/>
                <w:iCs/>
                <w:sz w:val="20"/>
              </w:rPr>
              <w:t>milliards d'euros</w:t>
            </w:r>
          </w:p>
        </w:tc>
      </w:tr>
      <w:tr w:rsidR="00D94333" w:rsidRPr="0031002E" w:rsidTr="00FC253D">
        <w:trPr>
          <w:trHeight w:val="570"/>
        </w:trPr>
        <w:tc>
          <w:tcPr>
            <w:tcW w:w="1143" w:type="pct"/>
            <w:tcBorders>
              <w:top w:val="nil"/>
              <w:left w:val="single" w:sz="8" w:space="0" w:color="auto"/>
              <w:bottom w:val="single" w:sz="4" w:space="0" w:color="auto"/>
              <w:right w:val="nil"/>
            </w:tcBorders>
            <w:shd w:val="clear" w:color="000000" w:fill="FFFFFF"/>
            <w:vAlign w:val="center"/>
            <w:hideMark/>
          </w:tcPr>
          <w:p w:rsidR="00D94333" w:rsidRDefault="00D94333" w:rsidP="00FC253D">
            <w:pPr>
              <w:jc w:val="left"/>
              <w:rPr>
                <w:rFonts w:ascii="Arial" w:hAnsi="Arial" w:cs="Arial"/>
                <w:b/>
                <w:bCs/>
                <w:sz w:val="20"/>
              </w:rPr>
            </w:pPr>
            <w:r>
              <w:rPr>
                <w:rFonts w:ascii="Arial" w:hAnsi="Arial" w:cs="Arial"/>
                <w:b/>
                <w:bCs/>
                <w:sz w:val="20"/>
              </w:rPr>
              <w:t>GROUPE</w:t>
            </w:r>
          </w:p>
          <w:p w:rsidR="00D94333" w:rsidRPr="0031002E" w:rsidRDefault="00D94333" w:rsidP="00FC253D">
            <w:pPr>
              <w:jc w:val="left"/>
              <w:rPr>
                <w:rFonts w:ascii="Arial" w:hAnsi="Arial" w:cs="Arial"/>
                <w:b/>
                <w:bCs/>
                <w:sz w:val="20"/>
              </w:rPr>
            </w:pPr>
            <w:r w:rsidRPr="0031002E">
              <w:rPr>
                <w:rFonts w:ascii="Arial" w:hAnsi="Arial" w:cs="Arial"/>
                <w:b/>
                <w:bCs/>
                <w:sz w:val="20"/>
              </w:rPr>
              <w:t>BPCE</w:t>
            </w:r>
          </w:p>
        </w:tc>
        <w:tc>
          <w:tcPr>
            <w:tcW w:w="857" w:type="pct"/>
            <w:tcBorders>
              <w:top w:val="nil"/>
              <w:left w:val="single" w:sz="8" w:space="0" w:color="auto"/>
              <w:bottom w:val="single" w:sz="4" w:space="0" w:color="auto"/>
              <w:right w:val="single" w:sz="8" w:space="0" w:color="auto"/>
            </w:tcBorders>
            <w:shd w:val="clear" w:color="000000" w:fill="FFFFFF"/>
            <w:vAlign w:val="center"/>
            <w:hideMark/>
          </w:tcPr>
          <w:p w:rsidR="00D94333" w:rsidRPr="0031002E" w:rsidRDefault="00B46036" w:rsidP="00FC253D">
            <w:pPr>
              <w:jc w:val="center"/>
              <w:rPr>
                <w:rFonts w:ascii="Arial" w:hAnsi="Arial" w:cs="Arial"/>
                <w:b/>
                <w:bCs/>
                <w:sz w:val="20"/>
              </w:rPr>
            </w:pPr>
            <w:r>
              <w:rPr>
                <w:rFonts w:ascii="Arial" w:hAnsi="Arial" w:cs="Arial"/>
                <w:b/>
                <w:bCs/>
                <w:sz w:val="20"/>
              </w:rPr>
              <w:t>8,34</w:t>
            </w:r>
            <w:r w:rsidR="00D94333" w:rsidRPr="0031002E">
              <w:rPr>
                <w:rFonts w:ascii="Arial" w:hAnsi="Arial" w:cs="Arial"/>
                <w:b/>
                <w:bCs/>
                <w:sz w:val="20"/>
              </w:rPr>
              <w:t>%</w:t>
            </w:r>
          </w:p>
        </w:tc>
        <w:tc>
          <w:tcPr>
            <w:tcW w:w="858" w:type="pct"/>
            <w:tcBorders>
              <w:top w:val="nil"/>
              <w:left w:val="single" w:sz="4" w:space="0" w:color="auto"/>
              <w:bottom w:val="single" w:sz="4" w:space="0" w:color="auto"/>
              <w:right w:val="single" w:sz="8" w:space="0" w:color="auto"/>
            </w:tcBorders>
            <w:shd w:val="clear" w:color="000000" w:fill="FFFFFF"/>
            <w:vAlign w:val="center"/>
            <w:hideMark/>
          </w:tcPr>
          <w:p w:rsidR="00D94333" w:rsidRPr="0031002E" w:rsidRDefault="00B46036" w:rsidP="00FC253D">
            <w:pPr>
              <w:jc w:val="center"/>
              <w:rPr>
                <w:rFonts w:ascii="Arial" w:hAnsi="Arial" w:cs="Arial"/>
                <w:b/>
                <w:bCs/>
                <w:sz w:val="20"/>
              </w:rPr>
            </w:pPr>
            <w:r>
              <w:rPr>
                <w:rFonts w:ascii="Arial" w:hAnsi="Arial" w:cs="Arial"/>
                <w:b/>
                <w:bCs/>
                <w:sz w:val="20"/>
              </w:rPr>
              <w:t>8,11</w:t>
            </w:r>
            <w:r w:rsidR="00D94333" w:rsidRPr="0031002E">
              <w:rPr>
                <w:rFonts w:ascii="Arial" w:hAnsi="Arial" w:cs="Arial"/>
                <w:b/>
                <w:bCs/>
                <w:sz w:val="20"/>
              </w:rPr>
              <w:t>%</w:t>
            </w:r>
          </w:p>
        </w:tc>
        <w:tc>
          <w:tcPr>
            <w:tcW w:w="1073" w:type="pct"/>
            <w:tcBorders>
              <w:top w:val="nil"/>
              <w:left w:val="single" w:sz="4" w:space="0" w:color="auto"/>
              <w:bottom w:val="single" w:sz="4" w:space="0" w:color="auto"/>
              <w:right w:val="single" w:sz="8" w:space="0" w:color="auto"/>
            </w:tcBorders>
            <w:shd w:val="clear" w:color="000000" w:fill="FFFFFF"/>
            <w:vAlign w:val="center"/>
            <w:hideMark/>
          </w:tcPr>
          <w:p w:rsidR="00D94333" w:rsidRPr="0031002E" w:rsidRDefault="00B46036" w:rsidP="00FC253D">
            <w:pPr>
              <w:jc w:val="center"/>
              <w:rPr>
                <w:rFonts w:ascii="Arial" w:hAnsi="Arial" w:cs="Arial"/>
                <w:b/>
                <w:bCs/>
                <w:sz w:val="20"/>
              </w:rPr>
            </w:pPr>
            <w:r>
              <w:rPr>
                <w:rFonts w:ascii="Arial" w:hAnsi="Arial" w:cs="Arial"/>
                <w:b/>
                <w:bCs/>
                <w:sz w:val="20"/>
              </w:rPr>
              <w:t xml:space="preserve">3,7 </w:t>
            </w:r>
            <w:r w:rsidR="00D94333" w:rsidRPr="0031002E">
              <w:rPr>
                <w:rFonts w:ascii="Arial" w:hAnsi="Arial" w:cs="Arial"/>
                <w:b/>
                <w:bCs/>
                <w:sz w:val="20"/>
              </w:rPr>
              <w:t>milliards d'euros</w:t>
            </w:r>
          </w:p>
        </w:tc>
        <w:tc>
          <w:tcPr>
            <w:tcW w:w="1070" w:type="pct"/>
            <w:tcBorders>
              <w:top w:val="nil"/>
              <w:left w:val="single" w:sz="4" w:space="0" w:color="auto"/>
              <w:bottom w:val="single" w:sz="4" w:space="0" w:color="auto"/>
              <w:right w:val="single" w:sz="8" w:space="0" w:color="auto"/>
            </w:tcBorders>
            <w:shd w:val="clear" w:color="000000" w:fill="FFFFFF"/>
            <w:vAlign w:val="center"/>
            <w:hideMark/>
          </w:tcPr>
          <w:p w:rsidR="00D94333" w:rsidRPr="0031002E" w:rsidRDefault="00B46036" w:rsidP="00FC253D">
            <w:pPr>
              <w:jc w:val="center"/>
              <w:rPr>
                <w:rFonts w:ascii="Arial" w:hAnsi="Arial" w:cs="Arial"/>
                <w:b/>
                <w:bCs/>
                <w:i/>
                <w:iCs/>
                <w:sz w:val="20"/>
              </w:rPr>
            </w:pPr>
            <w:r>
              <w:rPr>
                <w:rFonts w:ascii="Arial" w:hAnsi="Arial" w:cs="Arial"/>
                <w:b/>
                <w:bCs/>
                <w:i/>
                <w:iCs/>
                <w:sz w:val="20"/>
              </w:rPr>
              <w:t xml:space="preserve">1 </w:t>
            </w:r>
            <w:r w:rsidR="00D94333" w:rsidRPr="0031002E">
              <w:rPr>
                <w:rFonts w:ascii="Arial" w:hAnsi="Arial" w:cs="Arial"/>
                <w:b/>
                <w:bCs/>
                <w:i/>
                <w:iCs/>
                <w:sz w:val="20"/>
              </w:rPr>
              <w:t>milliard d'euros</w:t>
            </w:r>
          </w:p>
        </w:tc>
      </w:tr>
      <w:tr w:rsidR="00D94333" w:rsidRPr="0031002E" w:rsidTr="00FC253D">
        <w:trPr>
          <w:trHeight w:val="585"/>
        </w:trPr>
        <w:tc>
          <w:tcPr>
            <w:tcW w:w="1143" w:type="pct"/>
            <w:tcBorders>
              <w:top w:val="nil"/>
              <w:left w:val="single" w:sz="8" w:space="0" w:color="auto"/>
              <w:bottom w:val="single" w:sz="4" w:space="0" w:color="auto"/>
              <w:right w:val="nil"/>
            </w:tcBorders>
            <w:shd w:val="clear" w:color="000000" w:fill="FFFFFF"/>
            <w:vAlign w:val="center"/>
            <w:hideMark/>
          </w:tcPr>
          <w:p w:rsidR="00D94333" w:rsidRDefault="00D94333" w:rsidP="00FC253D">
            <w:pPr>
              <w:jc w:val="left"/>
              <w:rPr>
                <w:rFonts w:ascii="Arial" w:hAnsi="Arial" w:cs="Arial"/>
                <w:b/>
                <w:bCs/>
                <w:sz w:val="20"/>
              </w:rPr>
            </w:pPr>
            <w:r>
              <w:rPr>
                <w:rFonts w:ascii="Arial" w:hAnsi="Arial" w:cs="Arial"/>
                <w:b/>
                <w:bCs/>
                <w:sz w:val="20"/>
              </w:rPr>
              <w:t>GROUPE</w:t>
            </w:r>
          </w:p>
          <w:p w:rsidR="00D94333" w:rsidRPr="0031002E" w:rsidRDefault="00D94333" w:rsidP="00FC253D">
            <w:pPr>
              <w:jc w:val="left"/>
              <w:rPr>
                <w:rFonts w:ascii="Arial" w:hAnsi="Arial" w:cs="Arial"/>
                <w:b/>
                <w:bCs/>
                <w:sz w:val="20"/>
              </w:rPr>
            </w:pPr>
            <w:r w:rsidRPr="0031002E">
              <w:rPr>
                <w:rFonts w:ascii="Arial" w:hAnsi="Arial" w:cs="Arial"/>
                <w:b/>
                <w:bCs/>
                <w:sz w:val="20"/>
              </w:rPr>
              <w:t>CREDIT AGRICOLE</w:t>
            </w:r>
          </w:p>
        </w:tc>
        <w:tc>
          <w:tcPr>
            <w:tcW w:w="857" w:type="pct"/>
            <w:tcBorders>
              <w:top w:val="nil"/>
              <w:left w:val="single" w:sz="8" w:space="0" w:color="auto"/>
              <w:bottom w:val="single" w:sz="4" w:space="0" w:color="auto"/>
              <w:right w:val="single" w:sz="8" w:space="0" w:color="auto"/>
            </w:tcBorders>
            <w:shd w:val="clear" w:color="000000" w:fill="FFFFFF"/>
            <w:vAlign w:val="center"/>
            <w:hideMark/>
          </w:tcPr>
          <w:p w:rsidR="00D94333" w:rsidRPr="0031002E" w:rsidRDefault="00B46036" w:rsidP="00FC253D">
            <w:pPr>
              <w:jc w:val="center"/>
              <w:rPr>
                <w:rFonts w:ascii="Arial" w:hAnsi="Arial" w:cs="Arial"/>
                <w:b/>
                <w:bCs/>
                <w:sz w:val="20"/>
              </w:rPr>
            </w:pPr>
            <w:r>
              <w:rPr>
                <w:rFonts w:ascii="Arial" w:hAnsi="Arial" w:cs="Arial"/>
                <w:b/>
                <w:bCs/>
                <w:sz w:val="20"/>
              </w:rPr>
              <w:t>9,23</w:t>
            </w:r>
            <w:r w:rsidR="00D94333" w:rsidRPr="0031002E">
              <w:rPr>
                <w:rFonts w:ascii="Arial" w:hAnsi="Arial" w:cs="Arial"/>
                <w:b/>
                <w:bCs/>
                <w:sz w:val="20"/>
              </w:rPr>
              <w:t>%</w:t>
            </w:r>
          </w:p>
        </w:tc>
        <w:tc>
          <w:tcPr>
            <w:tcW w:w="858" w:type="pct"/>
            <w:tcBorders>
              <w:top w:val="nil"/>
              <w:left w:val="single" w:sz="4" w:space="0" w:color="auto"/>
              <w:bottom w:val="single" w:sz="4" w:space="0" w:color="auto"/>
              <w:right w:val="single" w:sz="8" w:space="0" w:color="auto"/>
            </w:tcBorders>
            <w:shd w:val="clear" w:color="000000" w:fill="FFFFFF"/>
            <w:vAlign w:val="center"/>
            <w:hideMark/>
          </w:tcPr>
          <w:p w:rsidR="00D94333" w:rsidRPr="0031002E" w:rsidRDefault="00684581" w:rsidP="00FC253D">
            <w:pPr>
              <w:jc w:val="center"/>
              <w:rPr>
                <w:rFonts w:ascii="Arial" w:hAnsi="Arial" w:cs="Arial"/>
                <w:b/>
                <w:bCs/>
                <w:sz w:val="20"/>
              </w:rPr>
            </w:pPr>
            <w:r>
              <w:rPr>
                <w:rFonts w:ascii="Arial" w:hAnsi="Arial" w:cs="Arial"/>
                <w:b/>
                <w:bCs/>
                <w:sz w:val="20"/>
              </w:rPr>
              <w:t>9,23</w:t>
            </w:r>
            <w:r w:rsidR="00D94333" w:rsidRPr="0031002E">
              <w:rPr>
                <w:rFonts w:ascii="Arial" w:hAnsi="Arial" w:cs="Arial"/>
                <w:b/>
                <w:bCs/>
                <w:sz w:val="20"/>
              </w:rPr>
              <w:t>%</w:t>
            </w:r>
          </w:p>
        </w:tc>
        <w:tc>
          <w:tcPr>
            <w:tcW w:w="1073" w:type="pct"/>
            <w:tcBorders>
              <w:top w:val="nil"/>
              <w:left w:val="single" w:sz="4" w:space="0" w:color="auto"/>
              <w:bottom w:val="single" w:sz="4" w:space="0" w:color="auto"/>
              <w:right w:val="single" w:sz="8" w:space="0" w:color="auto"/>
            </w:tcBorders>
            <w:shd w:val="clear" w:color="000000" w:fill="FFFFFF"/>
            <w:vAlign w:val="center"/>
            <w:hideMark/>
          </w:tcPr>
          <w:p w:rsidR="00D94333" w:rsidRPr="0031002E" w:rsidRDefault="00D94333" w:rsidP="00FC253D">
            <w:pPr>
              <w:jc w:val="center"/>
              <w:rPr>
                <w:rFonts w:ascii="Arial" w:hAnsi="Arial" w:cs="Arial"/>
                <w:b/>
                <w:bCs/>
                <w:sz w:val="20"/>
              </w:rPr>
            </w:pPr>
            <w:r w:rsidRPr="0031002E">
              <w:rPr>
                <w:rFonts w:ascii="Arial" w:hAnsi="Arial" w:cs="Arial"/>
                <w:b/>
                <w:bCs/>
                <w:sz w:val="20"/>
              </w:rPr>
              <w:t>0</w:t>
            </w:r>
          </w:p>
        </w:tc>
        <w:tc>
          <w:tcPr>
            <w:tcW w:w="1070" w:type="pct"/>
            <w:tcBorders>
              <w:top w:val="nil"/>
              <w:left w:val="single" w:sz="4" w:space="0" w:color="auto"/>
              <w:bottom w:val="single" w:sz="4" w:space="0" w:color="auto"/>
              <w:right w:val="single" w:sz="8" w:space="0" w:color="auto"/>
            </w:tcBorders>
            <w:shd w:val="clear" w:color="000000" w:fill="FFFFFF"/>
            <w:vAlign w:val="center"/>
            <w:hideMark/>
          </w:tcPr>
          <w:p w:rsidR="00D94333" w:rsidRPr="0031002E" w:rsidRDefault="00D94333" w:rsidP="00FC253D">
            <w:pPr>
              <w:jc w:val="center"/>
              <w:rPr>
                <w:rFonts w:ascii="Arial" w:hAnsi="Arial" w:cs="Arial"/>
                <w:b/>
                <w:bCs/>
                <w:i/>
                <w:iCs/>
                <w:sz w:val="20"/>
              </w:rPr>
            </w:pPr>
            <w:r w:rsidRPr="0031002E">
              <w:rPr>
                <w:rFonts w:ascii="Arial" w:hAnsi="Arial" w:cs="Arial"/>
                <w:b/>
                <w:bCs/>
                <w:i/>
                <w:iCs/>
                <w:sz w:val="20"/>
              </w:rPr>
              <w:t>0</w:t>
            </w:r>
          </w:p>
        </w:tc>
      </w:tr>
      <w:tr w:rsidR="00D94333" w:rsidRPr="0031002E" w:rsidTr="00FC253D">
        <w:trPr>
          <w:trHeight w:val="630"/>
        </w:trPr>
        <w:tc>
          <w:tcPr>
            <w:tcW w:w="1143" w:type="pct"/>
            <w:tcBorders>
              <w:top w:val="nil"/>
              <w:left w:val="single" w:sz="8" w:space="0" w:color="auto"/>
              <w:bottom w:val="single" w:sz="8" w:space="0" w:color="auto"/>
              <w:right w:val="nil"/>
            </w:tcBorders>
            <w:shd w:val="clear" w:color="000000" w:fill="FFFFFF"/>
            <w:vAlign w:val="center"/>
            <w:hideMark/>
          </w:tcPr>
          <w:p w:rsidR="00D94333" w:rsidRPr="0031002E" w:rsidRDefault="00D94333" w:rsidP="00FC253D">
            <w:pPr>
              <w:jc w:val="left"/>
              <w:rPr>
                <w:rFonts w:ascii="Arial" w:hAnsi="Arial" w:cs="Arial"/>
                <w:b/>
                <w:bCs/>
                <w:sz w:val="20"/>
              </w:rPr>
            </w:pPr>
            <w:r w:rsidRPr="0031002E">
              <w:rPr>
                <w:rFonts w:ascii="Arial" w:hAnsi="Arial" w:cs="Arial"/>
                <w:b/>
                <w:bCs/>
                <w:sz w:val="20"/>
              </w:rPr>
              <w:t>SOCIETE GENERALE</w:t>
            </w:r>
          </w:p>
        </w:tc>
        <w:tc>
          <w:tcPr>
            <w:tcW w:w="857" w:type="pct"/>
            <w:tcBorders>
              <w:top w:val="nil"/>
              <w:left w:val="single" w:sz="8" w:space="0" w:color="auto"/>
              <w:bottom w:val="single" w:sz="8" w:space="0" w:color="auto"/>
              <w:right w:val="single" w:sz="8" w:space="0" w:color="auto"/>
            </w:tcBorders>
            <w:shd w:val="clear" w:color="000000" w:fill="FFFFFF"/>
            <w:vAlign w:val="center"/>
            <w:hideMark/>
          </w:tcPr>
          <w:p w:rsidR="00D94333" w:rsidRPr="0031002E" w:rsidRDefault="00B46036" w:rsidP="00FC253D">
            <w:pPr>
              <w:jc w:val="center"/>
              <w:rPr>
                <w:rFonts w:ascii="Arial" w:hAnsi="Arial" w:cs="Arial"/>
                <w:b/>
                <w:bCs/>
                <w:sz w:val="20"/>
              </w:rPr>
            </w:pPr>
            <w:r>
              <w:rPr>
                <w:rFonts w:ascii="Arial" w:hAnsi="Arial" w:cs="Arial"/>
                <w:b/>
                <w:bCs/>
                <w:sz w:val="20"/>
              </w:rPr>
              <w:t>8,42</w:t>
            </w:r>
            <w:r w:rsidR="00D94333" w:rsidRPr="0031002E">
              <w:rPr>
                <w:rFonts w:ascii="Arial" w:hAnsi="Arial" w:cs="Arial"/>
                <w:b/>
                <w:bCs/>
                <w:sz w:val="20"/>
              </w:rPr>
              <w:t>%</w:t>
            </w:r>
          </w:p>
        </w:tc>
        <w:tc>
          <w:tcPr>
            <w:tcW w:w="858" w:type="pct"/>
            <w:tcBorders>
              <w:top w:val="nil"/>
              <w:left w:val="single" w:sz="4" w:space="0" w:color="auto"/>
              <w:bottom w:val="single" w:sz="8" w:space="0" w:color="auto"/>
              <w:right w:val="single" w:sz="8" w:space="0" w:color="auto"/>
            </w:tcBorders>
            <w:shd w:val="clear" w:color="000000" w:fill="FFFFFF"/>
            <w:vAlign w:val="center"/>
            <w:hideMark/>
          </w:tcPr>
          <w:p w:rsidR="00D94333" w:rsidRPr="0031002E" w:rsidRDefault="00B46036" w:rsidP="00FC253D">
            <w:pPr>
              <w:jc w:val="center"/>
              <w:rPr>
                <w:rFonts w:ascii="Arial" w:hAnsi="Arial" w:cs="Arial"/>
                <w:b/>
                <w:bCs/>
                <w:sz w:val="20"/>
              </w:rPr>
            </w:pPr>
            <w:r>
              <w:rPr>
                <w:rFonts w:ascii="Arial" w:hAnsi="Arial" w:cs="Arial"/>
                <w:b/>
                <w:bCs/>
                <w:sz w:val="20"/>
              </w:rPr>
              <w:t>8,42</w:t>
            </w:r>
            <w:r w:rsidR="00D94333" w:rsidRPr="0031002E">
              <w:rPr>
                <w:rFonts w:ascii="Arial" w:hAnsi="Arial" w:cs="Arial"/>
                <w:b/>
                <w:bCs/>
                <w:sz w:val="20"/>
              </w:rPr>
              <w:t>%</w:t>
            </w:r>
          </w:p>
        </w:tc>
        <w:tc>
          <w:tcPr>
            <w:tcW w:w="1073" w:type="pct"/>
            <w:tcBorders>
              <w:top w:val="nil"/>
              <w:left w:val="single" w:sz="4" w:space="0" w:color="auto"/>
              <w:bottom w:val="single" w:sz="8" w:space="0" w:color="auto"/>
              <w:right w:val="single" w:sz="8" w:space="0" w:color="auto"/>
            </w:tcBorders>
            <w:shd w:val="clear" w:color="000000" w:fill="FFFFFF"/>
            <w:vAlign w:val="center"/>
            <w:hideMark/>
          </w:tcPr>
          <w:p w:rsidR="00D94333" w:rsidRPr="0031002E" w:rsidRDefault="00B46036" w:rsidP="00FC253D">
            <w:pPr>
              <w:jc w:val="center"/>
              <w:rPr>
                <w:rFonts w:ascii="Arial" w:hAnsi="Arial" w:cs="Arial"/>
                <w:b/>
                <w:bCs/>
                <w:sz w:val="20"/>
              </w:rPr>
            </w:pPr>
            <w:r>
              <w:rPr>
                <w:rFonts w:ascii="Arial" w:hAnsi="Arial" w:cs="Arial"/>
                <w:b/>
                <w:bCs/>
                <w:sz w:val="20"/>
              </w:rPr>
              <w:t xml:space="preserve">2,1 </w:t>
            </w:r>
            <w:r w:rsidR="00D94333" w:rsidRPr="0031002E">
              <w:rPr>
                <w:rFonts w:ascii="Arial" w:hAnsi="Arial" w:cs="Arial"/>
                <w:b/>
                <w:bCs/>
                <w:sz w:val="20"/>
              </w:rPr>
              <w:t>milliards d'euros</w:t>
            </w:r>
          </w:p>
        </w:tc>
        <w:tc>
          <w:tcPr>
            <w:tcW w:w="1070" w:type="pct"/>
            <w:tcBorders>
              <w:top w:val="nil"/>
              <w:left w:val="single" w:sz="4" w:space="0" w:color="auto"/>
              <w:bottom w:val="single" w:sz="8" w:space="0" w:color="auto"/>
              <w:right w:val="single" w:sz="8" w:space="0" w:color="auto"/>
            </w:tcBorders>
            <w:shd w:val="clear" w:color="000000" w:fill="FFFFFF"/>
            <w:vAlign w:val="center"/>
            <w:hideMark/>
          </w:tcPr>
          <w:p w:rsidR="00D94333" w:rsidRPr="0031002E" w:rsidRDefault="00B46036" w:rsidP="00FC253D">
            <w:pPr>
              <w:jc w:val="center"/>
              <w:rPr>
                <w:rFonts w:ascii="Arial" w:hAnsi="Arial" w:cs="Arial"/>
                <w:b/>
                <w:bCs/>
                <w:i/>
                <w:iCs/>
                <w:sz w:val="20"/>
              </w:rPr>
            </w:pPr>
            <w:r>
              <w:rPr>
                <w:rFonts w:ascii="Arial" w:hAnsi="Arial" w:cs="Arial"/>
                <w:b/>
                <w:bCs/>
                <w:i/>
                <w:iCs/>
                <w:sz w:val="20"/>
              </w:rPr>
              <w:t>0</w:t>
            </w:r>
          </w:p>
        </w:tc>
      </w:tr>
      <w:tr w:rsidR="00D94333" w:rsidRPr="0031002E" w:rsidTr="00FC253D">
        <w:trPr>
          <w:trHeight w:val="255"/>
        </w:trPr>
        <w:tc>
          <w:tcPr>
            <w:tcW w:w="1143" w:type="pct"/>
            <w:tcBorders>
              <w:top w:val="nil"/>
              <w:left w:val="nil"/>
              <w:bottom w:val="nil"/>
              <w:right w:val="nil"/>
            </w:tcBorders>
            <w:shd w:val="clear" w:color="auto" w:fill="auto"/>
            <w:noWrap/>
            <w:vAlign w:val="bottom"/>
            <w:hideMark/>
          </w:tcPr>
          <w:p w:rsidR="00D94333" w:rsidRPr="0031002E" w:rsidRDefault="00D94333" w:rsidP="00FC253D">
            <w:pPr>
              <w:jc w:val="left"/>
              <w:rPr>
                <w:rFonts w:ascii="Arial" w:hAnsi="Arial" w:cs="Arial"/>
                <w:color w:val="000000"/>
                <w:sz w:val="20"/>
              </w:rPr>
            </w:pPr>
          </w:p>
        </w:tc>
        <w:tc>
          <w:tcPr>
            <w:tcW w:w="857" w:type="pct"/>
            <w:tcBorders>
              <w:top w:val="nil"/>
              <w:left w:val="nil"/>
              <w:bottom w:val="nil"/>
              <w:right w:val="nil"/>
            </w:tcBorders>
            <w:shd w:val="clear" w:color="auto" w:fill="auto"/>
            <w:noWrap/>
            <w:vAlign w:val="bottom"/>
            <w:hideMark/>
          </w:tcPr>
          <w:p w:rsidR="00D94333" w:rsidRPr="0031002E" w:rsidRDefault="00D94333" w:rsidP="00FC253D">
            <w:pPr>
              <w:jc w:val="left"/>
              <w:rPr>
                <w:rFonts w:ascii="Arial" w:hAnsi="Arial" w:cs="Arial"/>
                <w:color w:val="000000"/>
                <w:sz w:val="20"/>
              </w:rPr>
            </w:pPr>
          </w:p>
        </w:tc>
        <w:tc>
          <w:tcPr>
            <w:tcW w:w="858" w:type="pct"/>
            <w:tcBorders>
              <w:top w:val="nil"/>
              <w:left w:val="nil"/>
              <w:bottom w:val="nil"/>
              <w:right w:val="nil"/>
            </w:tcBorders>
            <w:shd w:val="clear" w:color="auto" w:fill="auto"/>
            <w:noWrap/>
            <w:vAlign w:val="bottom"/>
            <w:hideMark/>
          </w:tcPr>
          <w:p w:rsidR="00D94333" w:rsidRPr="0031002E" w:rsidRDefault="00D94333" w:rsidP="00FC253D">
            <w:pPr>
              <w:jc w:val="left"/>
              <w:rPr>
                <w:rFonts w:ascii="Arial" w:hAnsi="Arial" w:cs="Arial"/>
                <w:color w:val="000000"/>
                <w:sz w:val="20"/>
              </w:rPr>
            </w:pPr>
          </w:p>
        </w:tc>
        <w:tc>
          <w:tcPr>
            <w:tcW w:w="1073" w:type="pct"/>
            <w:tcBorders>
              <w:top w:val="nil"/>
              <w:left w:val="nil"/>
              <w:bottom w:val="nil"/>
              <w:right w:val="nil"/>
            </w:tcBorders>
            <w:shd w:val="clear" w:color="auto" w:fill="auto"/>
            <w:noWrap/>
            <w:vAlign w:val="bottom"/>
            <w:hideMark/>
          </w:tcPr>
          <w:p w:rsidR="00D94333" w:rsidRPr="0031002E" w:rsidRDefault="00D94333" w:rsidP="00FC253D">
            <w:pPr>
              <w:jc w:val="left"/>
              <w:rPr>
                <w:rFonts w:ascii="Arial" w:hAnsi="Arial" w:cs="Arial"/>
                <w:color w:val="000000"/>
                <w:sz w:val="20"/>
              </w:rPr>
            </w:pPr>
          </w:p>
        </w:tc>
        <w:tc>
          <w:tcPr>
            <w:tcW w:w="1070" w:type="pct"/>
            <w:tcBorders>
              <w:top w:val="nil"/>
              <w:left w:val="nil"/>
              <w:bottom w:val="nil"/>
              <w:right w:val="nil"/>
            </w:tcBorders>
            <w:shd w:val="clear" w:color="auto" w:fill="auto"/>
            <w:noWrap/>
            <w:vAlign w:val="bottom"/>
            <w:hideMark/>
          </w:tcPr>
          <w:p w:rsidR="00D94333" w:rsidRPr="0031002E" w:rsidRDefault="00D94333" w:rsidP="00FC253D">
            <w:pPr>
              <w:jc w:val="left"/>
              <w:rPr>
                <w:rFonts w:ascii="Arial" w:hAnsi="Arial" w:cs="Arial"/>
                <w:color w:val="000000"/>
                <w:sz w:val="20"/>
              </w:rPr>
            </w:pPr>
          </w:p>
        </w:tc>
      </w:tr>
      <w:tr w:rsidR="00D94333" w:rsidRPr="0031002E" w:rsidTr="00FC253D">
        <w:trPr>
          <w:trHeight w:val="660"/>
        </w:trPr>
        <w:tc>
          <w:tcPr>
            <w:tcW w:w="5000" w:type="pct"/>
            <w:gridSpan w:val="5"/>
            <w:tcBorders>
              <w:top w:val="nil"/>
              <w:left w:val="nil"/>
              <w:bottom w:val="nil"/>
              <w:right w:val="nil"/>
            </w:tcBorders>
            <w:shd w:val="clear" w:color="auto" w:fill="auto"/>
            <w:vAlign w:val="center"/>
            <w:hideMark/>
          </w:tcPr>
          <w:p w:rsidR="00D94333" w:rsidRPr="0031002E" w:rsidRDefault="00D94333" w:rsidP="00FC253D">
            <w:pPr>
              <w:ind w:left="426" w:hanging="426"/>
              <w:rPr>
                <w:rFonts w:ascii="Arial" w:hAnsi="Arial" w:cs="Arial"/>
                <w:color w:val="000000"/>
                <w:sz w:val="20"/>
              </w:rPr>
            </w:pPr>
            <w:r w:rsidRPr="0031002E">
              <w:rPr>
                <w:rFonts w:ascii="Arial" w:hAnsi="Arial" w:cs="Arial"/>
                <w:color w:val="000000"/>
                <w:sz w:val="20"/>
              </w:rPr>
              <w:t xml:space="preserve">(1)  </w:t>
            </w:r>
            <w:r>
              <w:rPr>
                <w:rFonts w:ascii="Arial" w:hAnsi="Arial" w:cs="Arial"/>
                <w:color w:val="000000"/>
                <w:sz w:val="20"/>
              </w:rPr>
              <w:t xml:space="preserve"> </w:t>
            </w:r>
            <w:r w:rsidRPr="0031002E">
              <w:rPr>
                <w:rFonts w:ascii="Arial" w:hAnsi="Arial" w:cs="Arial"/>
                <w:color w:val="000000"/>
                <w:sz w:val="20"/>
              </w:rPr>
              <w:t>Le calcul inclut l'impact estimé de la CRD3 (dont l'entrée en vigueur est fixée au 31 décembre 2011) s</w:t>
            </w:r>
            <w:r>
              <w:rPr>
                <w:rFonts w:ascii="Arial" w:hAnsi="Arial" w:cs="Arial"/>
                <w:color w:val="000000"/>
                <w:sz w:val="20"/>
              </w:rPr>
              <w:t xml:space="preserve">ur le ratio de </w:t>
            </w:r>
            <w:proofErr w:type="spellStart"/>
            <w:r>
              <w:rPr>
                <w:rFonts w:ascii="Arial" w:hAnsi="Arial" w:cs="Arial"/>
                <w:color w:val="000000"/>
                <w:sz w:val="20"/>
              </w:rPr>
              <w:t>Core</w:t>
            </w:r>
            <w:proofErr w:type="spellEnd"/>
            <w:r>
              <w:rPr>
                <w:rFonts w:ascii="Arial" w:hAnsi="Arial" w:cs="Arial"/>
                <w:color w:val="000000"/>
                <w:sz w:val="20"/>
              </w:rPr>
              <w:t xml:space="preserve"> </w:t>
            </w:r>
            <w:proofErr w:type="spellStart"/>
            <w:r>
              <w:rPr>
                <w:rFonts w:ascii="Arial" w:hAnsi="Arial" w:cs="Arial"/>
                <w:color w:val="000000"/>
                <w:sz w:val="20"/>
              </w:rPr>
              <w:t>Tier</w:t>
            </w:r>
            <w:proofErr w:type="spellEnd"/>
            <w:r>
              <w:rPr>
                <w:rFonts w:ascii="Arial" w:hAnsi="Arial" w:cs="Arial"/>
                <w:color w:val="000000"/>
                <w:sz w:val="20"/>
              </w:rPr>
              <w:t xml:space="preserve"> 1 </w:t>
            </w:r>
            <w:r w:rsidRPr="0031002E">
              <w:rPr>
                <w:rFonts w:ascii="Arial" w:hAnsi="Arial" w:cs="Arial"/>
                <w:color w:val="000000"/>
                <w:sz w:val="20"/>
              </w:rPr>
              <w:t xml:space="preserve">au 30 </w:t>
            </w:r>
            <w:r>
              <w:rPr>
                <w:rFonts w:ascii="Arial" w:hAnsi="Arial" w:cs="Arial"/>
                <w:color w:val="000000"/>
                <w:sz w:val="20"/>
              </w:rPr>
              <w:t>septembre</w:t>
            </w:r>
            <w:r w:rsidRPr="0031002E">
              <w:rPr>
                <w:rFonts w:ascii="Arial" w:hAnsi="Arial" w:cs="Arial"/>
                <w:color w:val="000000"/>
                <w:sz w:val="20"/>
              </w:rPr>
              <w:t xml:space="preserve"> 2011. Par conséquent, ce calcul est différent de l'exigence réglementaire en vigueur à la même date.</w:t>
            </w:r>
          </w:p>
        </w:tc>
      </w:tr>
      <w:tr w:rsidR="00D94333" w:rsidRPr="0031002E" w:rsidTr="00FC253D">
        <w:trPr>
          <w:trHeight w:val="645"/>
        </w:trPr>
        <w:tc>
          <w:tcPr>
            <w:tcW w:w="5000" w:type="pct"/>
            <w:gridSpan w:val="5"/>
            <w:tcBorders>
              <w:top w:val="nil"/>
              <w:left w:val="nil"/>
              <w:bottom w:val="nil"/>
              <w:right w:val="nil"/>
            </w:tcBorders>
            <w:shd w:val="clear" w:color="auto" w:fill="auto"/>
            <w:vAlign w:val="center"/>
            <w:hideMark/>
          </w:tcPr>
          <w:p w:rsidR="00D94333" w:rsidRPr="0031002E" w:rsidRDefault="00D94333" w:rsidP="00B93726">
            <w:pPr>
              <w:ind w:left="426" w:hanging="426"/>
              <w:rPr>
                <w:rFonts w:ascii="Arial" w:hAnsi="Arial" w:cs="Arial"/>
                <w:color w:val="000000"/>
                <w:sz w:val="20"/>
              </w:rPr>
            </w:pPr>
            <w:r w:rsidRPr="0031002E">
              <w:rPr>
                <w:rFonts w:ascii="Arial" w:hAnsi="Arial" w:cs="Arial"/>
                <w:color w:val="000000"/>
                <w:sz w:val="20"/>
              </w:rPr>
              <w:t>(2) Coussin de sécurité estimé conformément à la not</w:t>
            </w:r>
            <w:r w:rsidR="00B71534">
              <w:rPr>
                <w:rFonts w:ascii="Arial" w:hAnsi="Arial" w:cs="Arial"/>
                <w:color w:val="000000"/>
                <w:sz w:val="20"/>
              </w:rPr>
              <w:t>e méthodologique publiée par l'ABE</w:t>
            </w:r>
            <w:r w:rsidRPr="0031002E">
              <w:rPr>
                <w:rFonts w:ascii="Arial" w:hAnsi="Arial" w:cs="Arial"/>
                <w:color w:val="000000"/>
                <w:sz w:val="20"/>
              </w:rPr>
              <w:t xml:space="preserve"> (www.eba.europa.eu),</w:t>
            </w:r>
            <w:r>
              <w:rPr>
                <w:rFonts w:ascii="Arial" w:hAnsi="Arial" w:cs="Arial"/>
                <w:color w:val="000000"/>
                <w:sz w:val="20"/>
              </w:rPr>
              <w:t xml:space="preserve"> par référence aux valeurs </w:t>
            </w:r>
            <w:r w:rsidRPr="0031002E">
              <w:rPr>
                <w:rFonts w:ascii="Arial" w:hAnsi="Arial" w:cs="Arial"/>
                <w:color w:val="000000"/>
                <w:sz w:val="20"/>
              </w:rPr>
              <w:t>de marché au 30 septembre 2011.</w:t>
            </w:r>
          </w:p>
        </w:tc>
      </w:tr>
    </w:tbl>
    <w:p w:rsidR="0031002E" w:rsidRPr="001D4976" w:rsidRDefault="0031002E" w:rsidP="00C544BA"/>
    <w:sectPr w:rsidR="0031002E" w:rsidRPr="001D4976" w:rsidSect="003912C0">
      <w:headerReference w:type="default" r:id="rId8"/>
      <w:headerReference w:type="first" r:id="rId9"/>
      <w:pgSz w:w="11906" w:h="16838" w:code="9"/>
      <w:pgMar w:top="1418" w:right="1418" w:bottom="1418"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B02" w:rsidRDefault="00C25B02" w:rsidP="00C25B02">
      <w:r>
        <w:separator/>
      </w:r>
    </w:p>
  </w:endnote>
  <w:endnote w:type="continuationSeparator" w:id="0">
    <w:p w:rsidR="00C25B02" w:rsidRDefault="00C25B02" w:rsidP="00C25B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B02" w:rsidRDefault="00C25B02" w:rsidP="00C25B02">
      <w:r>
        <w:separator/>
      </w:r>
    </w:p>
  </w:footnote>
  <w:footnote w:type="continuationSeparator" w:id="0">
    <w:p w:rsidR="00C25B02" w:rsidRDefault="00C25B02" w:rsidP="00C2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02" w:rsidRDefault="00C25B02" w:rsidP="00C25B02">
    <w:pPr>
      <w:pStyle w:val="En-tt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C0" w:rsidRDefault="003912C0" w:rsidP="003912C0">
    <w:pPr>
      <w:pStyle w:val="En-tte"/>
      <w:pBdr>
        <w:bottom w:val="none" w:sz="0" w:space="0" w:color="auto"/>
      </w:pBdr>
    </w:pPr>
    <w:r w:rsidRPr="003912C0">
      <w:rPr>
        <w:noProof/>
      </w:rPr>
      <w:drawing>
        <wp:inline distT="0" distB="0" distL="0" distR="0">
          <wp:extent cx="1798320" cy="1005840"/>
          <wp:effectExtent l="19050" t="0" r="0" b="0"/>
          <wp:docPr id="3" name="Image 1" descr="logo-ACP-taille-nor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CP-taille-normale.jpg"/>
                  <pic:cNvPicPr/>
                </pic:nvPicPr>
                <pic:blipFill>
                  <a:blip r:embed="rId1"/>
                  <a:stretch>
                    <a:fillRect/>
                  </a:stretch>
                </pic:blipFill>
                <pic:spPr>
                  <a:xfrm>
                    <a:off x="0" y="0"/>
                    <a:ext cx="1798320" cy="10058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1">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2">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3">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3"/>
  </w:num>
  <w:num w:numId="3">
    <w:abstractNumId w:val="3"/>
  </w:num>
  <w:num w:numId="4">
    <w:abstractNumId w:val="3"/>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rsids>
    <w:rsidRoot w:val="000C2B1F"/>
    <w:rsid w:val="00071B9E"/>
    <w:rsid w:val="000B0226"/>
    <w:rsid w:val="000C2B1F"/>
    <w:rsid w:val="000C3928"/>
    <w:rsid w:val="001D4976"/>
    <w:rsid w:val="002041EE"/>
    <w:rsid w:val="002756C2"/>
    <w:rsid w:val="0028603A"/>
    <w:rsid w:val="0031002E"/>
    <w:rsid w:val="00330ADD"/>
    <w:rsid w:val="003912C0"/>
    <w:rsid w:val="003C617B"/>
    <w:rsid w:val="0061247F"/>
    <w:rsid w:val="00634379"/>
    <w:rsid w:val="00676A36"/>
    <w:rsid w:val="00684581"/>
    <w:rsid w:val="006D2124"/>
    <w:rsid w:val="00704EFD"/>
    <w:rsid w:val="007A15AF"/>
    <w:rsid w:val="00876B05"/>
    <w:rsid w:val="00882E2E"/>
    <w:rsid w:val="008835E8"/>
    <w:rsid w:val="009A6A5C"/>
    <w:rsid w:val="00A90207"/>
    <w:rsid w:val="00A92875"/>
    <w:rsid w:val="00AC1579"/>
    <w:rsid w:val="00AF449D"/>
    <w:rsid w:val="00B416F4"/>
    <w:rsid w:val="00B46036"/>
    <w:rsid w:val="00B66716"/>
    <w:rsid w:val="00B71534"/>
    <w:rsid w:val="00B93726"/>
    <w:rsid w:val="00BC232F"/>
    <w:rsid w:val="00BE4EF5"/>
    <w:rsid w:val="00C25B02"/>
    <w:rsid w:val="00C33389"/>
    <w:rsid w:val="00C544BA"/>
    <w:rsid w:val="00CA44A3"/>
    <w:rsid w:val="00D0080A"/>
    <w:rsid w:val="00D94333"/>
    <w:rsid w:val="00DD0260"/>
    <w:rsid w:val="00E00588"/>
    <w:rsid w:val="00E2101C"/>
    <w:rsid w:val="00E3134A"/>
    <w:rsid w:val="00E41F45"/>
    <w:rsid w:val="00E633C0"/>
    <w:rsid w:val="00E82A83"/>
    <w:rsid w:val="00EA6D81"/>
    <w:rsid w:val="00ED3C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B1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semiHidden/>
    <w:rsid w:val="0061247F"/>
    <w:pPr>
      <w:spacing w:before="40" w:after="40"/>
      <w:ind w:left="170" w:right="851" w:hanging="170"/>
    </w:pPr>
    <w:rPr>
      <w:sz w:val="16"/>
    </w:rPr>
  </w:style>
  <w:style w:type="paragraph" w:styleId="Pieddepage">
    <w:name w:val="footer"/>
    <w:basedOn w:val="Normal"/>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paragraph" w:styleId="Textebrut">
    <w:name w:val="Plain Text"/>
    <w:basedOn w:val="Normal"/>
    <w:link w:val="TextebrutCar"/>
    <w:uiPriority w:val="99"/>
    <w:unhideWhenUsed/>
    <w:rsid w:val="000C2B1F"/>
    <w:pPr>
      <w:jc w:val="left"/>
    </w:pPr>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0C2B1F"/>
    <w:rPr>
      <w:rFonts w:ascii="Consolas" w:eastAsiaTheme="minorHAnsi" w:hAnsi="Consolas" w:cstheme="minorBidi"/>
      <w:sz w:val="21"/>
      <w:szCs w:val="21"/>
      <w:lang w:eastAsia="en-US"/>
    </w:rPr>
  </w:style>
  <w:style w:type="paragraph" w:styleId="Textedebulles">
    <w:name w:val="Balloon Text"/>
    <w:basedOn w:val="Normal"/>
    <w:link w:val="TextedebullesCar"/>
    <w:rsid w:val="000C2B1F"/>
    <w:rPr>
      <w:rFonts w:ascii="Tahoma" w:hAnsi="Tahoma" w:cs="Tahoma"/>
      <w:sz w:val="16"/>
      <w:szCs w:val="16"/>
    </w:rPr>
  </w:style>
  <w:style w:type="character" w:customStyle="1" w:styleId="TextedebullesCar">
    <w:name w:val="Texte de bulles Car"/>
    <w:basedOn w:val="Policepardfaut"/>
    <w:link w:val="Textedebulles"/>
    <w:rsid w:val="000C2B1F"/>
    <w:rPr>
      <w:rFonts w:ascii="Tahoma" w:hAnsi="Tahoma" w:cs="Tahoma"/>
      <w:sz w:val="16"/>
      <w:szCs w:val="16"/>
    </w:rPr>
  </w:style>
  <w:style w:type="character" w:styleId="Lienhypertexte">
    <w:name w:val="Hyperlink"/>
    <w:basedOn w:val="Policepardfaut"/>
    <w:rsid w:val="002756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1247611">
      <w:bodyDiv w:val="1"/>
      <w:marLeft w:val="0"/>
      <w:marRight w:val="0"/>
      <w:marTop w:val="0"/>
      <w:marBottom w:val="0"/>
      <w:divBdr>
        <w:top w:val="none" w:sz="0" w:space="0" w:color="auto"/>
        <w:left w:val="none" w:sz="0" w:space="0" w:color="auto"/>
        <w:bottom w:val="none" w:sz="0" w:space="0" w:color="auto"/>
        <w:right w:val="none" w:sz="0" w:space="0" w:color="auto"/>
      </w:divBdr>
    </w:div>
    <w:div w:id="1451557908">
      <w:bodyDiv w:val="1"/>
      <w:marLeft w:val="0"/>
      <w:marRight w:val="0"/>
      <w:marTop w:val="0"/>
      <w:marBottom w:val="0"/>
      <w:divBdr>
        <w:top w:val="none" w:sz="0" w:space="0" w:color="auto"/>
        <w:left w:val="none" w:sz="0" w:space="0" w:color="auto"/>
        <w:bottom w:val="none" w:sz="0" w:space="0" w:color="auto"/>
        <w:right w:val="none" w:sz="0" w:space="0" w:color="auto"/>
      </w:divBdr>
    </w:div>
    <w:div w:id="16301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b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552</Words>
  <Characters>2899</Characters>
  <Application>Microsoft Office Word</Application>
  <DocSecurity>0</DocSecurity>
  <Lines>126</Lines>
  <Paragraphs>60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de l’ABE sur les besoins en fonds propres des banques européennes: les résultats définitifs des banques françaises</dc:title>
  <dc:subject>Test de l’ABE sur les besoins en fonds propres des banques européennes: les résultats définitifs des banques françaises</dc:subject>
  <dc:creator>Autorité de contrôle prudentiel</dc:creator>
  <cp:keywords/>
  <dc:description/>
  <cp:lastModifiedBy>Patricia BOULONGNE</cp:lastModifiedBy>
  <cp:revision>4</cp:revision>
  <cp:lastPrinted>2011-10-26T19:30:00Z</cp:lastPrinted>
  <dcterms:created xsi:type="dcterms:W3CDTF">2011-12-08T15:17:00Z</dcterms:created>
  <dcterms:modified xsi:type="dcterms:W3CDTF">2011-12-08T15:38:00Z</dcterms:modified>
</cp:coreProperties>
</file>